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723" w:firstLineChars="100"/>
        <w:rPr>
          <w:rFonts w:hint="eastAsia" w:ascii="Times New Roman" w:hAnsi="Times New Roman" w:eastAsia="方正小标宋简体"/>
          <w:kern w:val="2"/>
          <w:sz w:val="72"/>
          <w:szCs w:val="21"/>
          <w:lang w:val="en-US" w:eastAsia="zh-CN"/>
        </w:rPr>
      </w:pPr>
      <w:r>
        <w:rPr>
          <w:rFonts w:hint="eastAsia" w:ascii="Times New Roman" w:hAnsi="Times New Roman" w:eastAsia="方正小标宋简体"/>
          <w:kern w:val="2"/>
          <w:sz w:val="72"/>
          <w:szCs w:val="21"/>
          <w:lang w:val="en-US" w:eastAsia="zh-CN"/>
        </w:rPr>
        <w:t>苗 木 生 产 基 地 养 护</w:t>
      </w:r>
    </w:p>
    <w:p>
      <w:pPr>
        <w:pStyle w:val="2"/>
        <w:ind w:firstLine="0" w:firstLineChars="0"/>
        <w:rPr>
          <w:rFonts w:hint="eastAsia" w:eastAsia="方正小标宋简体"/>
          <w:b/>
          <w:sz w:val="72"/>
        </w:rPr>
      </w:pPr>
    </w:p>
    <w:p>
      <w:pPr>
        <w:tabs>
          <w:tab w:val="center" w:pos="4621"/>
        </w:tabs>
        <w:spacing w:line="360" w:lineRule="auto"/>
        <w:jc w:val="center"/>
        <w:rPr>
          <w:rFonts w:eastAsia="方正小标宋简体"/>
          <w:b/>
          <w:sz w:val="72"/>
          <w:szCs w:val="21"/>
        </w:rPr>
      </w:pPr>
      <w:r>
        <w:rPr>
          <w:rFonts w:eastAsia="方正小标宋简体"/>
          <w:b/>
          <w:sz w:val="72"/>
          <w:szCs w:val="21"/>
        </w:rPr>
        <w:t>竞 争 性 磋 商 文 件</w:t>
      </w:r>
    </w:p>
    <w:p>
      <w:pPr>
        <w:spacing w:line="360" w:lineRule="auto"/>
        <w:rPr>
          <w:rFonts w:eastAsia="方正小标宋简体"/>
          <w:b/>
          <w:bCs/>
          <w:sz w:val="40"/>
          <w:szCs w:val="21"/>
        </w:rPr>
      </w:pPr>
      <w:r>
        <w:rPr>
          <w:rFonts w:eastAsia="方正小标宋简体"/>
          <w:b/>
          <w:bCs/>
          <w:sz w:val="40"/>
          <w:szCs w:val="21"/>
        </w:rPr>
        <w:t xml:space="preserve">                  </w:t>
      </w:r>
    </w:p>
    <w:p>
      <w:pPr>
        <w:spacing w:line="360" w:lineRule="auto"/>
        <w:rPr>
          <w:rFonts w:eastAsia="方正小标宋简体"/>
          <w:sz w:val="40"/>
          <w:szCs w:val="21"/>
        </w:rPr>
      </w:pPr>
    </w:p>
    <w:p>
      <w:pPr>
        <w:pStyle w:val="2"/>
        <w:ind w:firstLine="800"/>
        <w:rPr>
          <w:rFonts w:eastAsia="方正小标宋简体"/>
          <w:sz w:val="40"/>
        </w:rPr>
      </w:pPr>
    </w:p>
    <w:p>
      <w:pPr>
        <w:pStyle w:val="2"/>
        <w:ind w:firstLine="800"/>
        <w:rPr>
          <w:rFonts w:eastAsia="方正小标宋简体"/>
          <w:sz w:val="40"/>
        </w:rPr>
      </w:pPr>
    </w:p>
    <w:p>
      <w:pPr>
        <w:spacing w:line="360" w:lineRule="auto"/>
        <w:rPr>
          <w:rFonts w:eastAsia="方正小标宋简体"/>
          <w:sz w:val="40"/>
          <w:szCs w:val="21"/>
        </w:rPr>
      </w:pPr>
    </w:p>
    <w:p>
      <w:pPr>
        <w:pStyle w:val="2"/>
        <w:ind w:firstLine="800"/>
        <w:rPr>
          <w:rFonts w:eastAsia="方正小标宋简体"/>
          <w:sz w:val="40"/>
        </w:rPr>
      </w:pPr>
    </w:p>
    <w:p>
      <w:pPr>
        <w:pStyle w:val="2"/>
        <w:ind w:firstLine="800"/>
        <w:rPr>
          <w:rFonts w:eastAsia="方正小标宋简体"/>
          <w:sz w:val="40"/>
        </w:rPr>
      </w:pPr>
    </w:p>
    <w:p>
      <w:pPr>
        <w:pStyle w:val="2"/>
        <w:ind w:firstLine="0" w:firstLineChars="0"/>
        <w:rPr>
          <w:rFonts w:eastAsia="方正小标宋简体"/>
          <w:sz w:val="40"/>
        </w:rPr>
      </w:pPr>
    </w:p>
    <w:p>
      <w:pPr>
        <w:pStyle w:val="2"/>
        <w:spacing w:line="360" w:lineRule="auto"/>
        <w:ind w:firstLine="0" w:firstLineChars="0"/>
        <w:rPr>
          <w:rFonts w:eastAsia="方正小标宋简体"/>
          <w:sz w:val="40"/>
        </w:rPr>
      </w:pPr>
    </w:p>
    <w:p>
      <w:pPr>
        <w:spacing w:line="360" w:lineRule="auto"/>
        <w:rPr>
          <w:rFonts w:eastAsia="方正小标宋简体"/>
          <w:bCs/>
          <w:sz w:val="32"/>
          <w:szCs w:val="21"/>
        </w:rPr>
      </w:pPr>
      <w:r>
        <w:rPr>
          <w:rFonts w:eastAsia="方正小标宋简体"/>
          <w:b/>
          <w:bCs/>
          <w:sz w:val="40"/>
          <w:szCs w:val="21"/>
        </w:rPr>
        <w:t xml:space="preserve">        </w:t>
      </w:r>
      <w:r>
        <w:rPr>
          <w:rFonts w:eastAsia="方正小标宋简体"/>
          <w:bCs/>
          <w:sz w:val="32"/>
          <w:szCs w:val="21"/>
        </w:rPr>
        <w:t>采</w:t>
      </w:r>
      <w:r>
        <w:rPr>
          <w:rFonts w:hint="eastAsia" w:eastAsia="方正小标宋简体"/>
          <w:bCs/>
          <w:sz w:val="32"/>
          <w:szCs w:val="21"/>
        </w:rPr>
        <w:t xml:space="preserve">   </w:t>
      </w:r>
      <w:r>
        <w:rPr>
          <w:rFonts w:eastAsia="方正小标宋简体"/>
          <w:bCs/>
          <w:sz w:val="32"/>
          <w:szCs w:val="21"/>
        </w:rPr>
        <w:t>购</w:t>
      </w:r>
      <w:r>
        <w:rPr>
          <w:rFonts w:hint="eastAsia" w:eastAsia="方正小标宋简体"/>
          <w:bCs/>
          <w:sz w:val="32"/>
          <w:szCs w:val="21"/>
        </w:rPr>
        <w:t xml:space="preserve">   商：  </w:t>
      </w:r>
      <w:r>
        <w:rPr>
          <w:rFonts w:eastAsia="方正小标宋简体"/>
          <w:bCs/>
          <w:sz w:val="32"/>
          <w:szCs w:val="21"/>
        </w:rPr>
        <w:t xml:space="preserve">淮安致远市政园林建设有限公司             </w:t>
      </w:r>
    </w:p>
    <w:p>
      <w:pPr>
        <w:spacing w:line="360" w:lineRule="auto"/>
        <w:rPr>
          <w:rFonts w:eastAsia="方正小标宋简体"/>
          <w:bCs/>
          <w:sz w:val="32"/>
          <w:szCs w:val="21"/>
        </w:rPr>
      </w:pPr>
      <w:r>
        <w:rPr>
          <w:rFonts w:eastAsia="方正小标宋简体"/>
          <w:bCs/>
          <w:sz w:val="32"/>
          <w:szCs w:val="21"/>
        </w:rPr>
        <w:t xml:space="preserve">          项</w:t>
      </w:r>
      <w:r>
        <w:rPr>
          <w:rFonts w:hint="eastAsia" w:eastAsia="方正小标宋简体"/>
          <w:bCs/>
          <w:sz w:val="32"/>
          <w:szCs w:val="21"/>
        </w:rPr>
        <w:t xml:space="preserve"> </w:t>
      </w:r>
      <w:r>
        <w:rPr>
          <w:rFonts w:eastAsia="方正小标宋简体"/>
          <w:bCs/>
          <w:sz w:val="32"/>
          <w:szCs w:val="21"/>
        </w:rPr>
        <w:t>目</w:t>
      </w:r>
      <w:r>
        <w:rPr>
          <w:rFonts w:hint="eastAsia" w:eastAsia="方正小标宋简体"/>
          <w:bCs/>
          <w:sz w:val="32"/>
          <w:szCs w:val="21"/>
        </w:rPr>
        <w:t xml:space="preserve"> </w:t>
      </w:r>
      <w:r>
        <w:rPr>
          <w:rFonts w:eastAsia="方正小标宋简体"/>
          <w:bCs/>
          <w:sz w:val="32"/>
          <w:szCs w:val="21"/>
        </w:rPr>
        <w:t>内</w:t>
      </w:r>
      <w:r>
        <w:rPr>
          <w:rFonts w:hint="eastAsia" w:eastAsia="方正小标宋简体"/>
          <w:bCs/>
          <w:sz w:val="32"/>
          <w:szCs w:val="21"/>
        </w:rPr>
        <w:t xml:space="preserve">  </w:t>
      </w:r>
      <w:r>
        <w:rPr>
          <w:rFonts w:eastAsia="方正小标宋简体"/>
          <w:bCs/>
          <w:sz w:val="32"/>
          <w:szCs w:val="21"/>
        </w:rPr>
        <w:t>容</w:t>
      </w:r>
      <w:r>
        <w:rPr>
          <w:rFonts w:hint="eastAsia" w:eastAsia="方正小标宋简体"/>
          <w:bCs/>
          <w:sz w:val="32"/>
          <w:szCs w:val="21"/>
        </w:rPr>
        <w:t xml:space="preserve">：  </w:t>
      </w:r>
      <w:r>
        <w:rPr>
          <w:rFonts w:eastAsia="方正小标宋简体"/>
          <w:bCs/>
          <w:sz w:val="32"/>
          <w:szCs w:val="21"/>
        </w:rPr>
        <w:t xml:space="preserve">苗木生产基地养护项目   </w:t>
      </w:r>
    </w:p>
    <w:p>
      <w:pPr>
        <w:spacing w:line="360" w:lineRule="auto"/>
        <w:rPr>
          <w:rFonts w:eastAsia="方正小标宋简体"/>
          <w:bCs/>
          <w:sz w:val="32"/>
          <w:szCs w:val="21"/>
        </w:rPr>
      </w:pPr>
      <w:r>
        <w:rPr>
          <w:rFonts w:eastAsia="方正小标宋简体"/>
          <w:bCs/>
          <w:sz w:val="32"/>
          <w:szCs w:val="21"/>
        </w:rPr>
        <w:t xml:space="preserve">          日        期：</w:t>
      </w:r>
      <w:r>
        <w:rPr>
          <w:rFonts w:hint="eastAsia" w:eastAsia="方正小标宋简体"/>
          <w:bCs/>
          <w:sz w:val="32"/>
          <w:szCs w:val="21"/>
        </w:rPr>
        <w:t xml:space="preserve"> </w:t>
      </w:r>
      <w:r>
        <w:rPr>
          <w:rFonts w:eastAsia="方正小标宋简体"/>
          <w:bCs/>
          <w:sz w:val="32"/>
          <w:szCs w:val="21"/>
        </w:rPr>
        <w:t xml:space="preserve"> 二</w:t>
      </w:r>
      <w:r>
        <w:rPr>
          <w:bCs/>
          <w:sz w:val="32"/>
          <w:szCs w:val="21"/>
        </w:rPr>
        <w:t>〇</w:t>
      </w:r>
      <w:r>
        <w:rPr>
          <w:rFonts w:eastAsia="方正小标宋简体"/>
          <w:bCs/>
          <w:sz w:val="32"/>
          <w:szCs w:val="21"/>
        </w:rPr>
        <w:t>二</w:t>
      </w:r>
      <w:r>
        <w:rPr>
          <w:rFonts w:hint="eastAsia" w:eastAsia="方正小标宋简体"/>
          <w:bCs/>
          <w:sz w:val="32"/>
          <w:szCs w:val="21"/>
          <w:lang w:val="en-US" w:eastAsia="zh-CN"/>
        </w:rPr>
        <w:t>二</w:t>
      </w:r>
      <w:r>
        <w:rPr>
          <w:rFonts w:eastAsia="方正小标宋简体"/>
          <w:bCs/>
          <w:sz w:val="32"/>
          <w:szCs w:val="21"/>
        </w:rPr>
        <w:t>年</w:t>
      </w:r>
      <w:r>
        <w:rPr>
          <w:rFonts w:hint="eastAsia" w:eastAsia="方正小标宋简体"/>
          <w:bCs/>
          <w:sz w:val="32"/>
          <w:szCs w:val="21"/>
        </w:rPr>
        <w:t>四</w:t>
      </w:r>
      <w:r>
        <w:rPr>
          <w:rFonts w:eastAsia="方正小标宋简体"/>
          <w:bCs/>
          <w:sz w:val="32"/>
          <w:szCs w:val="21"/>
        </w:rPr>
        <w:t>月</w:t>
      </w:r>
    </w:p>
    <w:p>
      <w:pPr>
        <w:spacing w:line="360" w:lineRule="auto"/>
        <w:jc w:val="center"/>
        <w:rPr>
          <w:sz w:val="18"/>
          <w:szCs w:val="21"/>
        </w:rPr>
        <w:sectPr>
          <w:headerReference r:id="rId5" w:type="first"/>
          <w:footerReference r:id="rId6" w:type="default"/>
          <w:pgSz w:w="11906" w:h="16838"/>
          <w:pgMar w:top="1003" w:right="1003" w:bottom="1003" w:left="1003" w:header="851" w:footer="992" w:gutter="0"/>
          <w:cols w:space="720" w:num="1"/>
          <w:docGrid w:type="lines" w:linePitch="319" w:charSpace="0"/>
        </w:sectPr>
      </w:pPr>
    </w:p>
    <w:p>
      <w:pPr>
        <w:rPr>
          <w:rFonts w:hint="eastAsia"/>
          <w:szCs w:val="21"/>
        </w:rPr>
      </w:pPr>
    </w:p>
    <w:p>
      <w:pPr>
        <w:spacing w:line="360" w:lineRule="auto"/>
        <w:jc w:val="center"/>
        <w:rPr>
          <w:rFonts w:eastAsia="方正小标宋简体"/>
          <w:sz w:val="36"/>
          <w:szCs w:val="36"/>
        </w:rPr>
      </w:pPr>
      <w:r>
        <w:rPr>
          <w:szCs w:val="21"/>
        </w:rPr>
        <w:tab/>
      </w:r>
      <w:r>
        <w:rPr>
          <w:rFonts w:eastAsia="方正小标宋简体"/>
          <w:sz w:val="36"/>
          <w:szCs w:val="36"/>
        </w:rPr>
        <w:t>目    录</w:t>
      </w:r>
    </w:p>
    <w:p>
      <w:pPr>
        <w:pStyle w:val="6"/>
        <w:tabs>
          <w:tab w:val="right" w:leader="dot" w:pos="9900"/>
        </w:tabs>
      </w:pPr>
      <w:r>
        <w:rPr>
          <w:rFonts w:ascii="Times New Roman" w:hAnsi="Times New Roman" w:cs="Times New Roman"/>
          <w:b w:val="0"/>
          <w:bCs w:val="0"/>
        </w:rPr>
        <w:fldChar w:fldCharType="begin"/>
      </w:r>
      <w:r>
        <w:rPr>
          <w:rFonts w:ascii="Times New Roman" w:hAnsi="Times New Roman" w:cs="Times New Roman"/>
          <w:b w:val="0"/>
          <w:bCs w:val="0"/>
        </w:rPr>
        <w:instrText xml:space="preserve">TOC \o "1-3" \h \u </w:instrText>
      </w:r>
      <w:r>
        <w:rPr>
          <w:rFonts w:ascii="Times New Roman" w:hAnsi="Times New Roman" w:cs="Times New Roman"/>
          <w:b w:val="0"/>
          <w:bCs w:val="0"/>
        </w:rPr>
        <w:fldChar w:fldCharType="separate"/>
      </w:r>
      <w:r>
        <w:rPr>
          <w:rFonts w:ascii="Times New Roman" w:hAnsi="Times New Roman" w:cs="Times New Roman"/>
          <w:bCs w:val="0"/>
        </w:rPr>
        <w:fldChar w:fldCharType="begin"/>
      </w:r>
      <w:r>
        <w:rPr>
          <w:rFonts w:ascii="Times New Roman" w:hAnsi="Times New Roman" w:cs="Times New Roman"/>
          <w:bCs w:val="0"/>
        </w:rPr>
        <w:instrText xml:space="preserve"> HYPERLINK \l _Toc27333 </w:instrText>
      </w:r>
      <w:r>
        <w:rPr>
          <w:rFonts w:ascii="Times New Roman" w:hAnsi="Times New Roman" w:cs="Times New Roman"/>
          <w:bCs w:val="0"/>
        </w:rPr>
        <w:fldChar w:fldCharType="separate"/>
      </w:r>
      <w:r>
        <w:rPr>
          <w:rFonts w:ascii="Times New Roman" w:hAnsi="Times New Roman"/>
        </w:rPr>
        <w:t>第一章  竞争性磋商</w:t>
      </w:r>
      <w:r>
        <w:rPr>
          <w:rFonts w:hint="eastAsia" w:ascii="Times New Roman" w:hAnsi="Times New Roman"/>
        </w:rPr>
        <w:t>公告</w:t>
      </w:r>
      <w:r>
        <w:tab/>
      </w:r>
      <w:r>
        <w:fldChar w:fldCharType="begin"/>
      </w:r>
      <w:r>
        <w:instrText xml:space="preserve"> PAGEREF _Toc27333 </w:instrText>
      </w:r>
      <w:r>
        <w:fldChar w:fldCharType="separate"/>
      </w:r>
      <w:r>
        <w:t>1</w:t>
      </w:r>
      <w:r>
        <w:fldChar w:fldCharType="end"/>
      </w:r>
      <w:r>
        <w:rPr>
          <w:rFonts w:ascii="Times New Roman" w:hAnsi="Times New Roman" w:cs="Times New Roman"/>
          <w:bCs w:val="0"/>
        </w:rPr>
        <w:fldChar w:fldCharType="end"/>
      </w:r>
    </w:p>
    <w:p>
      <w:pPr>
        <w:pStyle w:val="6"/>
        <w:tabs>
          <w:tab w:val="right" w:leader="dot" w:pos="9900"/>
        </w:tabs>
      </w:pPr>
      <w:r>
        <w:rPr>
          <w:rFonts w:ascii="Times New Roman" w:hAnsi="Times New Roman" w:cs="Times New Roman"/>
          <w:bCs w:val="0"/>
        </w:rPr>
        <w:fldChar w:fldCharType="begin"/>
      </w:r>
      <w:r>
        <w:rPr>
          <w:rFonts w:ascii="Times New Roman" w:hAnsi="Times New Roman" w:cs="Times New Roman"/>
          <w:bCs w:val="0"/>
        </w:rPr>
        <w:instrText xml:space="preserve"> HYPERLINK \l _Toc25492 </w:instrText>
      </w:r>
      <w:r>
        <w:rPr>
          <w:rFonts w:ascii="Times New Roman" w:hAnsi="Times New Roman" w:cs="Times New Roman"/>
          <w:bCs w:val="0"/>
        </w:rPr>
        <w:fldChar w:fldCharType="separate"/>
      </w:r>
      <w:r>
        <w:rPr>
          <w:rFonts w:ascii="Times New Roman" w:hAnsi="Times New Roman"/>
          <w:szCs w:val="32"/>
        </w:rPr>
        <w:t>第二章   供应商须知</w:t>
      </w:r>
      <w:r>
        <w:tab/>
      </w:r>
      <w:r>
        <w:fldChar w:fldCharType="begin"/>
      </w:r>
      <w:r>
        <w:instrText xml:space="preserve"> PAGEREF _Toc25492 </w:instrText>
      </w:r>
      <w:r>
        <w:fldChar w:fldCharType="separate"/>
      </w:r>
      <w:r>
        <w:t>7</w:t>
      </w:r>
      <w:r>
        <w:fldChar w:fldCharType="end"/>
      </w:r>
      <w:r>
        <w:rPr>
          <w:rFonts w:ascii="Times New Roman" w:hAnsi="Times New Roman" w:cs="Times New Roman"/>
          <w:bCs w:val="0"/>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_Toc7508 </w:instrText>
      </w:r>
      <w:r>
        <w:rPr>
          <w:rFonts w:ascii="Times New Roman" w:hAnsi="Times New Roman" w:cs="Times New Roman"/>
          <w:bCs/>
        </w:rPr>
        <w:fldChar w:fldCharType="separate"/>
      </w:r>
      <w:r>
        <w:t>一、</w:t>
      </w:r>
      <w:r>
        <w:rPr>
          <w:rFonts w:hint="eastAsia"/>
        </w:rPr>
        <w:t>磋商</w:t>
      </w:r>
      <w:r>
        <w:t>总则</w:t>
      </w:r>
      <w:r>
        <w:tab/>
      </w:r>
      <w:r>
        <w:fldChar w:fldCharType="begin"/>
      </w:r>
      <w:r>
        <w:instrText xml:space="preserve"> PAGEREF _Toc7508 </w:instrText>
      </w:r>
      <w:r>
        <w:fldChar w:fldCharType="separate"/>
      </w:r>
      <w:r>
        <w:t>8</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_Toc23287 </w:instrText>
      </w:r>
      <w:r>
        <w:rPr>
          <w:rFonts w:ascii="Times New Roman" w:hAnsi="Times New Roman" w:cs="Times New Roman"/>
          <w:bCs/>
        </w:rPr>
        <w:fldChar w:fldCharType="separate"/>
      </w:r>
      <w:r>
        <w:t>二、竞争性磋商文件</w:t>
      </w:r>
      <w:r>
        <w:tab/>
      </w:r>
      <w:r>
        <w:fldChar w:fldCharType="begin"/>
      </w:r>
      <w:r>
        <w:instrText xml:space="preserve"> PAGEREF _Toc23287 </w:instrText>
      </w:r>
      <w:r>
        <w:fldChar w:fldCharType="separate"/>
      </w:r>
      <w:r>
        <w:t>9</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_Toc6936 </w:instrText>
      </w:r>
      <w:r>
        <w:rPr>
          <w:rFonts w:ascii="Times New Roman" w:hAnsi="Times New Roman" w:cs="Times New Roman"/>
          <w:bCs/>
        </w:rPr>
        <w:fldChar w:fldCharType="separate"/>
      </w:r>
      <w:r>
        <w:t>三、响应文件的编制</w:t>
      </w:r>
      <w:r>
        <w:tab/>
      </w:r>
      <w:r>
        <w:fldChar w:fldCharType="begin"/>
      </w:r>
      <w:r>
        <w:instrText xml:space="preserve"> PAGEREF _Toc6936 </w:instrText>
      </w:r>
      <w:r>
        <w:fldChar w:fldCharType="separate"/>
      </w:r>
      <w:r>
        <w:t>9</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_Toc652 </w:instrText>
      </w:r>
      <w:r>
        <w:rPr>
          <w:rFonts w:ascii="Times New Roman" w:hAnsi="Times New Roman" w:cs="Times New Roman"/>
          <w:bCs/>
        </w:rPr>
        <w:fldChar w:fldCharType="separate"/>
      </w:r>
      <w:r>
        <w:t>四、响应文件的提交</w:t>
      </w:r>
      <w:r>
        <w:tab/>
      </w:r>
      <w:r>
        <w:fldChar w:fldCharType="begin"/>
      </w:r>
      <w:r>
        <w:instrText xml:space="preserve"> PAGEREF _Toc652 </w:instrText>
      </w:r>
      <w:r>
        <w:fldChar w:fldCharType="separate"/>
      </w:r>
      <w:r>
        <w:t>12</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_Toc23510 </w:instrText>
      </w:r>
      <w:r>
        <w:rPr>
          <w:rFonts w:ascii="Times New Roman" w:hAnsi="Times New Roman" w:cs="Times New Roman"/>
          <w:bCs/>
        </w:rPr>
        <w:fldChar w:fldCharType="separate"/>
      </w:r>
      <w:r>
        <w:t>五、无效标、废标、串通参与磋商认定条款</w:t>
      </w:r>
      <w:r>
        <w:tab/>
      </w:r>
      <w:r>
        <w:fldChar w:fldCharType="begin"/>
      </w:r>
      <w:r>
        <w:instrText xml:space="preserve"> PAGEREF _Toc23510 </w:instrText>
      </w:r>
      <w:r>
        <w:fldChar w:fldCharType="separate"/>
      </w:r>
      <w:r>
        <w:t>12</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_Toc19313 </w:instrText>
      </w:r>
      <w:r>
        <w:rPr>
          <w:rFonts w:ascii="Times New Roman" w:hAnsi="Times New Roman" w:cs="Times New Roman"/>
          <w:bCs/>
        </w:rPr>
        <w:fldChar w:fldCharType="separate"/>
      </w:r>
      <w:r>
        <w:t>六、磋商程序及最终报价</w:t>
      </w:r>
      <w:r>
        <w:tab/>
      </w:r>
      <w:r>
        <w:fldChar w:fldCharType="begin"/>
      </w:r>
      <w:r>
        <w:instrText xml:space="preserve"> PAGEREF _Toc19313 </w:instrText>
      </w:r>
      <w:r>
        <w:fldChar w:fldCharType="separate"/>
      </w:r>
      <w:r>
        <w:t>14</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_Toc19175 </w:instrText>
      </w:r>
      <w:r>
        <w:rPr>
          <w:rFonts w:ascii="Times New Roman" w:hAnsi="Times New Roman" w:cs="Times New Roman"/>
          <w:bCs/>
        </w:rPr>
        <w:fldChar w:fldCharType="separate"/>
      </w:r>
      <w:r>
        <w:t>七、成交及合同签订</w:t>
      </w:r>
      <w:r>
        <w:tab/>
      </w:r>
      <w:r>
        <w:fldChar w:fldCharType="begin"/>
      </w:r>
      <w:r>
        <w:instrText xml:space="preserve"> PAGEREF _Toc19175 </w:instrText>
      </w:r>
      <w:r>
        <w:fldChar w:fldCharType="separate"/>
      </w:r>
      <w:r>
        <w:t>15</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_Toc24482 </w:instrText>
      </w:r>
      <w:r>
        <w:rPr>
          <w:rFonts w:ascii="Times New Roman" w:hAnsi="Times New Roman" w:cs="Times New Roman"/>
          <w:bCs/>
        </w:rPr>
        <w:fldChar w:fldCharType="separate"/>
      </w:r>
      <w:r>
        <w:t>八、 付款</w:t>
      </w:r>
      <w:r>
        <w:tab/>
      </w:r>
      <w:r>
        <w:fldChar w:fldCharType="begin"/>
      </w:r>
      <w:r>
        <w:instrText xml:space="preserve"> PAGEREF _Toc24482 </w:instrText>
      </w:r>
      <w:r>
        <w:fldChar w:fldCharType="separate"/>
      </w:r>
      <w:r>
        <w:t>16</w:t>
      </w:r>
      <w:r>
        <w:fldChar w:fldCharType="end"/>
      </w:r>
      <w:r>
        <w:rPr>
          <w:rFonts w:ascii="Times New Roman" w:hAnsi="Times New Roman" w:cs="Times New Roman"/>
          <w:bCs/>
        </w:rPr>
        <w:fldChar w:fldCharType="end"/>
      </w:r>
    </w:p>
    <w:p>
      <w:pPr>
        <w:pStyle w:val="7"/>
        <w:tabs>
          <w:tab w:val="right" w:leader="dot" w:pos="9900"/>
        </w:tabs>
      </w:pPr>
      <w:r>
        <w:rPr>
          <w:rFonts w:ascii="Times New Roman" w:hAnsi="Times New Roman" w:cs="Times New Roman"/>
          <w:bCs/>
        </w:rPr>
        <w:fldChar w:fldCharType="begin"/>
      </w:r>
      <w:r>
        <w:rPr>
          <w:rFonts w:ascii="Times New Roman" w:hAnsi="Times New Roman" w:cs="Times New Roman"/>
          <w:bCs/>
        </w:rPr>
        <w:instrText xml:space="preserve"> HYPERLINK \l _Toc11854 </w:instrText>
      </w:r>
      <w:r>
        <w:rPr>
          <w:rFonts w:ascii="Times New Roman" w:hAnsi="Times New Roman" w:cs="Times New Roman"/>
          <w:bCs/>
        </w:rPr>
        <w:fldChar w:fldCharType="separate"/>
      </w:r>
      <w:r>
        <w:t>九、质疑与投诉</w:t>
      </w:r>
      <w:r>
        <w:tab/>
      </w:r>
      <w:r>
        <w:fldChar w:fldCharType="begin"/>
      </w:r>
      <w:r>
        <w:instrText xml:space="preserve"> PAGEREF _Toc11854 </w:instrText>
      </w:r>
      <w:r>
        <w:fldChar w:fldCharType="separate"/>
      </w:r>
      <w:r>
        <w:t>16</w:t>
      </w:r>
      <w:r>
        <w:fldChar w:fldCharType="end"/>
      </w:r>
      <w:r>
        <w:rPr>
          <w:rFonts w:ascii="Times New Roman" w:hAnsi="Times New Roman" w:cs="Times New Roman"/>
          <w:bCs/>
        </w:rPr>
        <w:fldChar w:fldCharType="end"/>
      </w:r>
    </w:p>
    <w:p>
      <w:pPr>
        <w:pStyle w:val="6"/>
        <w:tabs>
          <w:tab w:val="right" w:leader="dot" w:pos="9900"/>
        </w:tabs>
      </w:pPr>
      <w:r>
        <w:rPr>
          <w:rFonts w:ascii="Times New Roman" w:hAnsi="Times New Roman" w:cs="Times New Roman"/>
          <w:bCs w:val="0"/>
        </w:rPr>
        <w:fldChar w:fldCharType="begin"/>
      </w:r>
      <w:r>
        <w:rPr>
          <w:rFonts w:ascii="Times New Roman" w:hAnsi="Times New Roman" w:cs="Times New Roman"/>
          <w:bCs w:val="0"/>
        </w:rPr>
        <w:instrText xml:space="preserve"> HYPERLINK \l _Toc2341 </w:instrText>
      </w:r>
      <w:r>
        <w:rPr>
          <w:rFonts w:ascii="Times New Roman" w:hAnsi="Times New Roman" w:cs="Times New Roman"/>
          <w:bCs w:val="0"/>
        </w:rPr>
        <w:fldChar w:fldCharType="separate"/>
      </w:r>
      <w:r>
        <w:rPr>
          <w:rFonts w:ascii="Times New Roman" w:hAnsi="Times New Roman"/>
        </w:rPr>
        <w:t>第三章  评标办法</w:t>
      </w:r>
      <w:r>
        <w:tab/>
      </w:r>
      <w:r>
        <w:fldChar w:fldCharType="begin"/>
      </w:r>
      <w:r>
        <w:instrText xml:space="preserve"> PAGEREF _Toc2341 </w:instrText>
      </w:r>
      <w:r>
        <w:fldChar w:fldCharType="separate"/>
      </w:r>
      <w:r>
        <w:t>18</w:t>
      </w:r>
      <w:r>
        <w:fldChar w:fldCharType="end"/>
      </w:r>
      <w:r>
        <w:rPr>
          <w:rFonts w:ascii="Times New Roman" w:hAnsi="Times New Roman" w:cs="Times New Roman"/>
          <w:bCs w:val="0"/>
        </w:rPr>
        <w:fldChar w:fldCharType="end"/>
      </w:r>
    </w:p>
    <w:p>
      <w:pPr>
        <w:pStyle w:val="6"/>
        <w:tabs>
          <w:tab w:val="right" w:leader="dot" w:pos="9900"/>
        </w:tabs>
      </w:pPr>
      <w:r>
        <w:rPr>
          <w:rFonts w:ascii="Times New Roman" w:hAnsi="Times New Roman" w:cs="Times New Roman"/>
          <w:bCs w:val="0"/>
        </w:rPr>
        <w:fldChar w:fldCharType="begin"/>
      </w:r>
      <w:r>
        <w:rPr>
          <w:rFonts w:ascii="Times New Roman" w:hAnsi="Times New Roman" w:cs="Times New Roman"/>
          <w:bCs w:val="0"/>
        </w:rPr>
        <w:instrText xml:space="preserve"> HYPERLINK \l _Toc7105 </w:instrText>
      </w:r>
      <w:r>
        <w:rPr>
          <w:rFonts w:ascii="Times New Roman" w:hAnsi="Times New Roman" w:cs="Times New Roman"/>
          <w:bCs w:val="0"/>
        </w:rPr>
        <w:fldChar w:fldCharType="separate"/>
      </w:r>
      <w:r>
        <w:rPr>
          <w:rFonts w:ascii="Times New Roman" w:hAnsi="Times New Roman"/>
        </w:rPr>
        <w:t>第四章  采购需求</w:t>
      </w:r>
      <w:r>
        <w:tab/>
      </w:r>
      <w:r>
        <w:fldChar w:fldCharType="begin"/>
      </w:r>
      <w:r>
        <w:instrText xml:space="preserve"> PAGEREF _Toc7105 </w:instrText>
      </w:r>
      <w:r>
        <w:fldChar w:fldCharType="separate"/>
      </w:r>
      <w:r>
        <w:t>21</w:t>
      </w:r>
      <w:r>
        <w:fldChar w:fldCharType="end"/>
      </w:r>
      <w:r>
        <w:rPr>
          <w:rFonts w:ascii="Times New Roman" w:hAnsi="Times New Roman" w:cs="Times New Roman"/>
          <w:bCs w:val="0"/>
        </w:rPr>
        <w:fldChar w:fldCharType="end"/>
      </w:r>
    </w:p>
    <w:p>
      <w:pPr>
        <w:pStyle w:val="6"/>
        <w:tabs>
          <w:tab w:val="right" w:leader="dot" w:pos="9900"/>
        </w:tabs>
      </w:pPr>
      <w:r>
        <w:rPr>
          <w:rFonts w:ascii="Times New Roman" w:hAnsi="Times New Roman" w:cs="Times New Roman"/>
          <w:bCs w:val="0"/>
        </w:rPr>
        <w:fldChar w:fldCharType="begin"/>
      </w:r>
      <w:r>
        <w:rPr>
          <w:rFonts w:ascii="Times New Roman" w:hAnsi="Times New Roman" w:cs="Times New Roman"/>
          <w:bCs w:val="0"/>
        </w:rPr>
        <w:instrText xml:space="preserve"> HYPERLINK \l _Toc21367 </w:instrText>
      </w:r>
      <w:r>
        <w:rPr>
          <w:rFonts w:ascii="Times New Roman" w:hAnsi="Times New Roman" w:cs="Times New Roman"/>
          <w:bCs w:val="0"/>
        </w:rPr>
        <w:fldChar w:fldCharType="separate"/>
      </w:r>
      <w:r>
        <w:rPr>
          <w:rFonts w:ascii="Times New Roman" w:hAnsi="Times New Roman"/>
        </w:rPr>
        <w:t>第五章  合同格式及条款</w:t>
      </w:r>
      <w:r>
        <w:tab/>
      </w:r>
      <w:r>
        <w:fldChar w:fldCharType="begin"/>
      </w:r>
      <w:r>
        <w:instrText xml:space="preserve"> PAGEREF _Toc21367 </w:instrText>
      </w:r>
      <w:r>
        <w:fldChar w:fldCharType="separate"/>
      </w:r>
      <w:r>
        <w:t>27</w:t>
      </w:r>
      <w:r>
        <w:fldChar w:fldCharType="end"/>
      </w:r>
      <w:r>
        <w:rPr>
          <w:rFonts w:ascii="Times New Roman" w:hAnsi="Times New Roman" w:cs="Times New Roman"/>
          <w:bCs w:val="0"/>
        </w:rPr>
        <w:fldChar w:fldCharType="end"/>
      </w:r>
    </w:p>
    <w:p>
      <w:pPr>
        <w:pStyle w:val="6"/>
        <w:tabs>
          <w:tab w:val="right" w:leader="dot" w:pos="9900"/>
        </w:tabs>
      </w:pPr>
      <w:r>
        <w:rPr>
          <w:rFonts w:ascii="Times New Roman" w:hAnsi="Times New Roman" w:cs="Times New Roman"/>
          <w:bCs w:val="0"/>
        </w:rPr>
        <w:fldChar w:fldCharType="begin"/>
      </w:r>
      <w:r>
        <w:rPr>
          <w:rFonts w:ascii="Times New Roman" w:hAnsi="Times New Roman" w:cs="Times New Roman"/>
          <w:bCs w:val="0"/>
        </w:rPr>
        <w:instrText xml:space="preserve"> HYPERLINK \l _Toc4834 </w:instrText>
      </w:r>
      <w:r>
        <w:rPr>
          <w:rFonts w:ascii="Times New Roman" w:hAnsi="Times New Roman" w:cs="Times New Roman"/>
          <w:bCs w:val="0"/>
        </w:rPr>
        <w:fldChar w:fldCharType="separate"/>
      </w:r>
      <w:r>
        <w:rPr>
          <w:szCs w:val="32"/>
        </w:rPr>
        <w:t>第六章   响应文件（格式）</w:t>
      </w:r>
      <w:r>
        <w:tab/>
      </w:r>
      <w:r>
        <w:fldChar w:fldCharType="begin"/>
      </w:r>
      <w:r>
        <w:instrText xml:space="preserve"> PAGEREF _Toc4834 </w:instrText>
      </w:r>
      <w:r>
        <w:fldChar w:fldCharType="separate"/>
      </w:r>
      <w:r>
        <w:t>52</w:t>
      </w:r>
      <w:r>
        <w:fldChar w:fldCharType="end"/>
      </w:r>
      <w:r>
        <w:rPr>
          <w:rFonts w:ascii="Times New Roman" w:hAnsi="Times New Roman" w:cs="Times New Roman"/>
          <w:bCs w:val="0"/>
        </w:rPr>
        <w:fldChar w:fldCharType="end"/>
      </w:r>
    </w:p>
    <w:p>
      <w:pPr>
        <w:pStyle w:val="7"/>
        <w:tabs>
          <w:tab w:val="right" w:leader="dot" w:pos="9900"/>
        </w:tabs>
      </w:pPr>
    </w:p>
    <w:p>
      <w:r>
        <w:rPr>
          <w:bCs/>
        </w:rPr>
        <w:fldChar w:fldCharType="end"/>
      </w:r>
    </w:p>
    <w:p>
      <w:pPr>
        <w:tabs>
          <w:tab w:val="left" w:pos="8640"/>
        </w:tabs>
        <w:spacing w:line="360" w:lineRule="auto"/>
        <w:jc w:val="left"/>
        <w:rPr>
          <w:rFonts w:eastAsia="方正小标宋简体"/>
          <w:sz w:val="36"/>
          <w:szCs w:val="21"/>
        </w:rPr>
      </w:pPr>
      <w:r>
        <w:rPr>
          <w:rFonts w:eastAsia="方正小标宋简体"/>
          <w:sz w:val="36"/>
          <w:szCs w:val="21"/>
        </w:rPr>
        <w:t>　</w:t>
      </w:r>
    </w:p>
    <w:p>
      <w:pPr>
        <w:spacing w:line="360" w:lineRule="auto"/>
        <w:rPr>
          <w:b/>
          <w:bCs/>
          <w:szCs w:val="21"/>
        </w:rPr>
      </w:pPr>
    </w:p>
    <w:p>
      <w:pPr>
        <w:rPr>
          <w:b/>
          <w:bCs/>
          <w:szCs w:val="21"/>
        </w:rPr>
      </w:pPr>
    </w:p>
    <w:p>
      <w:pPr>
        <w:rPr>
          <w:b/>
          <w:bCs/>
          <w:szCs w:val="21"/>
        </w:rPr>
      </w:pPr>
    </w:p>
    <w:p>
      <w:pPr>
        <w:rPr>
          <w:b/>
          <w:bCs/>
          <w:szCs w:val="21"/>
        </w:rPr>
      </w:pPr>
    </w:p>
    <w:p>
      <w:pPr>
        <w:pStyle w:val="2"/>
        <w:ind w:firstLine="0" w:firstLineChars="0"/>
        <w:sectPr>
          <w:footerReference r:id="rId7" w:type="default"/>
          <w:pgSz w:w="11906" w:h="16838"/>
          <w:pgMar w:top="1003" w:right="1003" w:bottom="1003" w:left="1003" w:header="851" w:footer="992" w:gutter="0"/>
          <w:pgNumType w:start="1"/>
          <w:cols w:space="720" w:num="1"/>
          <w:docGrid w:type="lines" w:linePitch="319" w:charSpace="0"/>
        </w:sectPr>
      </w:pPr>
    </w:p>
    <w:p>
      <w:pPr>
        <w:pStyle w:val="2"/>
        <w:ind w:firstLine="0" w:firstLineChars="0"/>
      </w:pPr>
    </w:p>
    <w:p>
      <w:pPr>
        <w:pStyle w:val="3"/>
        <w:numPr>
          <w:ilvl w:val="0"/>
          <w:numId w:val="0"/>
        </w:numPr>
        <w:rPr>
          <w:rFonts w:hint="eastAsia" w:ascii="Times New Roman" w:hAnsi="Times New Roman"/>
          <w:color w:val="auto"/>
        </w:rPr>
      </w:pPr>
      <w:bookmarkStart w:id="0" w:name="_Toc6422"/>
      <w:bookmarkStart w:id="1" w:name="_Toc535316451"/>
      <w:bookmarkStart w:id="2" w:name="_Toc2809"/>
      <w:bookmarkStart w:id="3" w:name="_Toc10752"/>
      <w:bookmarkStart w:id="4" w:name="_Toc2151"/>
      <w:bookmarkStart w:id="5" w:name="_Toc9471"/>
      <w:bookmarkStart w:id="6" w:name="_Toc22885"/>
      <w:bookmarkStart w:id="7" w:name="_Toc14065"/>
      <w:bookmarkStart w:id="8" w:name="_Toc3929"/>
      <w:bookmarkStart w:id="9" w:name="_Toc27333"/>
      <w:r>
        <w:rPr>
          <w:rFonts w:ascii="Times New Roman" w:hAnsi="Times New Roman"/>
          <w:color w:val="auto"/>
        </w:rPr>
        <w:t>第一</w:t>
      </w:r>
      <w:r>
        <w:rPr>
          <w:rFonts w:hint="eastAsia" w:ascii="Times New Roman" w:hAnsi="Times New Roman"/>
          <w:color w:val="auto"/>
          <w:lang w:val="en-US" w:eastAsia="zh-CN"/>
        </w:rPr>
        <w:t>章</w:t>
      </w:r>
      <w:r>
        <w:rPr>
          <w:rFonts w:ascii="Times New Roman" w:hAnsi="Times New Roman"/>
          <w:color w:val="auto"/>
        </w:rPr>
        <w:t xml:space="preserve">  竞争性磋商</w:t>
      </w:r>
      <w:bookmarkEnd w:id="0"/>
      <w:bookmarkEnd w:id="1"/>
      <w:bookmarkEnd w:id="2"/>
      <w:bookmarkEnd w:id="3"/>
      <w:bookmarkEnd w:id="4"/>
      <w:bookmarkEnd w:id="5"/>
      <w:bookmarkEnd w:id="6"/>
      <w:r>
        <w:rPr>
          <w:rFonts w:hint="eastAsia" w:ascii="Times New Roman" w:hAnsi="Times New Roman"/>
          <w:color w:val="auto"/>
        </w:rPr>
        <w:t>公告</w:t>
      </w:r>
      <w:bookmarkEnd w:id="7"/>
      <w:bookmarkEnd w:id="8"/>
      <w:bookmarkEnd w:id="9"/>
    </w:p>
    <w:p>
      <w:pPr>
        <w:ind w:firstLine="420" w:firstLineChars="200"/>
      </w:pPr>
      <w:r>
        <w:t>各供应商：</w:t>
      </w:r>
    </w:p>
    <w:p>
      <w:pPr>
        <w:spacing w:line="360" w:lineRule="auto"/>
        <w:ind w:firstLine="420" w:firstLineChars="200"/>
      </w:pPr>
      <w:r>
        <w:t>淮安致远市政园林建设有限公司就该单位的苗木生产基地养护项目进行竞争性磋商采购，</w:t>
      </w:r>
      <w:r>
        <w:rPr>
          <w:rFonts w:hint="eastAsia"/>
        </w:rPr>
        <w:t>欢迎符合条件的供应商参加磋商。为了保证磋商顺利进行，请在制作响应文件之前，仔细阅读本谈判文件的各项条款，并严格按要求制作和递交响应文件。谢谢合作！</w:t>
      </w:r>
    </w:p>
    <w:p>
      <w:pPr>
        <w:ind w:left="420"/>
        <w:rPr>
          <w:b/>
        </w:rPr>
      </w:pPr>
      <w:r>
        <w:rPr>
          <w:rFonts w:hint="eastAsia"/>
          <w:b/>
        </w:rPr>
        <w:t>一、磋商内容及简要说明</w:t>
      </w:r>
    </w:p>
    <w:p>
      <w:pPr>
        <w:ind w:left="420"/>
      </w:pPr>
      <w:r>
        <w:t>（一）项目名称：苗木生产基地养护</w:t>
      </w:r>
    </w:p>
    <w:p>
      <w:pPr>
        <w:ind w:firstLine="420"/>
        <w:rPr>
          <w:szCs w:val="21"/>
          <w:lang w:val="zh-CN"/>
        </w:rPr>
      </w:pPr>
      <w:r>
        <w:t>（二）</w:t>
      </w:r>
      <w:r>
        <w:rPr>
          <w:szCs w:val="21"/>
          <w:lang w:val="zh-CN"/>
        </w:rPr>
        <w:t>项目地点：淮安市生态文旅区</w:t>
      </w:r>
    </w:p>
    <w:p>
      <w:pPr>
        <w:ind w:firstLine="420"/>
        <w:rPr>
          <w:b/>
          <w:szCs w:val="21"/>
        </w:rPr>
      </w:pPr>
      <w:r>
        <w:t>（三）项目最高限价：</w:t>
      </w:r>
      <w:bookmarkStart w:id="10" w:name="EB957df072e9994cc7a1ff00e8cfaa1a4f"/>
      <w:bookmarkEnd w:id="10"/>
      <w:r>
        <w:rPr>
          <w:rFonts w:hint="eastAsia" w:ascii="仿宋_GB2312"/>
          <w:b/>
          <w:szCs w:val="21"/>
          <w:u w:val="single"/>
        </w:rPr>
        <w:t xml:space="preserve"> 0.6</w:t>
      </w:r>
      <w:r>
        <w:rPr>
          <w:rFonts w:hint="eastAsia" w:ascii="仿宋_GB2312" w:hAnsi="黑体"/>
          <w:b/>
          <w:szCs w:val="21"/>
          <w:u w:val="single"/>
        </w:rPr>
        <w:t>元/m</w:t>
      </w:r>
      <w:r>
        <w:rPr>
          <w:rFonts w:hint="eastAsia" w:ascii="仿宋_GB2312" w:hAnsi="黑体"/>
          <w:b/>
          <w:szCs w:val="21"/>
          <w:u w:val="single"/>
          <w:vertAlign w:val="superscript"/>
        </w:rPr>
        <w:t>2</w:t>
      </w:r>
      <w:r>
        <w:rPr>
          <w:rFonts w:hint="eastAsia" w:ascii="仿宋_GB2312" w:hAnsi="宋体" w:cs="宋体"/>
          <w:b/>
          <w:szCs w:val="21"/>
          <w:u w:val="single"/>
        </w:rPr>
        <w:t>／年</w:t>
      </w:r>
      <w:r>
        <w:rPr>
          <w:rFonts w:hint="eastAsia"/>
        </w:rPr>
        <w:t>，</w:t>
      </w:r>
      <w:r>
        <w:rPr>
          <w:szCs w:val="21"/>
          <w:lang w:val="zh-CN"/>
        </w:rPr>
        <w:t>三年养护</w:t>
      </w:r>
      <w:r>
        <w:rPr>
          <w:rFonts w:hint="eastAsia"/>
          <w:szCs w:val="21"/>
          <w:lang w:val="zh-CN"/>
        </w:rPr>
        <w:t>最高</w:t>
      </w:r>
      <w:r>
        <w:rPr>
          <w:szCs w:val="21"/>
          <w:lang w:val="zh-CN"/>
        </w:rPr>
        <w:t>限价</w:t>
      </w:r>
      <w:r>
        <w:rPr>
          <w:rFonts w:hint="eastAsia"/>
          <w:szCs w:val="21"/>
          <w:lang w:val="zh-CN"/>
        </w:rPr>
        <w:t>:</w:t>
      </w:r>
      <w:r>
        <w:rPr>
          <w:szCs w:val="21"/>
        </w:rPr>
        <w:t>一标段</w:t>
      </w:r>
      <w:r>
        <w:rPr>
          <w:rFonts w:hint="eastAsia"/>
          <w:szCs w:val="21"/>
        </w:rPr>
        <w:t>为</w:t>
      </w:r>
      <w:r>
        <w:rPr>
          <w:rFonts w:hint="eastAsia"/>
          <w:szCs w:val="21"/>
          <w:u w:val="single"/>
        </w:rPr>
        <w:t>135</w:t>
      </w:r>
      <w:r>
        <w:rPr>
          <w:szCs w:val="21"/>
        </w:rPr>
        <w:t>万元，二标段</w:t>
      </w:r>
      <w:r>
        <w:rPr>
          <w:rFonts w:hint="eastAsia"/>
          <w:szCs w:val="21"/>
          <w:u w:val="single"/>
        </w:rPr>
        <w:t>14</w:t>
      </w:r>
      <w:r>
        <w:rPr>
          <w:rFonts w:hint="eastAsia"/>
          <w:szCs w:val="21"/>
          <w:u w:val="single"/>
          <w:lang w:val="en-US" w:eastAsia="zh-CN"/>
        </w:rPr>
        <w:t>5</w:t>
      </w:r>
      <w:r>
        <w:rPr>
          <w:szCs w:val="21"/>
        </w:rPr>
        <w:t>万</w:t>
      </w:r>
      <w:r>
        <w:rPr>
          <w:rFonts w:hint="eastAsia"/>
          <w:szCs w:val="21"/>
        </w:rPr>
        <w:t>元</w:t>
      </w:r>
      <w:r>
        <w:rPr>
          <w:szCs w:val="21"/>
        </w:rPr>
        <w:t>。</w:t>
      </w:r>
    </w:p>
    <w:p>
      <w:pPr>
        <w:ind w:firstLine="420"/>
      </w:pPr>
      <w:r>
        <w:t>（四）主要内容：</w:t>
      </w:r>
      <w:r>
        <w:rPr>
          <w:szCs w:val="21"/>
          <w:lang w:val="zh-CN"/>
        </w:rPr>
        <w:t>淮安致远市政园林建设有限公司苗木生产基地20</w:t>
      </w:r>
      <w:r>
        <w:rPr>
          <w:rFonts w:hint="eastAsia"/>
          <w:szCs w:val="21"/>
          <w:lang w:val="zh-CN"/>
        </w:rPr>
        <w:t>22</w:t>
      </w:r>
      <w:r>
        <w:rPr>
          <w:szCs w:val="21"/>
          <w:lang w:val="zh-CN"/>
        </w:rPr>
        <w:t>年-202</w:t>
      </w:r>
      <w:r>
        <w:rPr>
          <w:rFonts w:hint="eastAsia"/>
          <w:szCs w:val="21"/>
        </w:rPr>
        <w:t>5</w:t>
      </w:r>
      <w:r>
        <w:rPr>
          <w:szCs w:val="21"/>
          <w:lang w:val="zh-CN"/>
        </w:rPr>
        <w:t>年绿化养护管理。本工程划分两个标段如下：</w:t>
      </w:r>
    </w:p>
    <w:p>
      <w:pPr>
        <w:ind w:left="420" w:leftChars="200"/>
        <w:rPr>
          <w:rFonts w:hint="eastAsia"/>
          <w:szCs w:val="21"/>
          <w:lang w:val="zh-CN"/>
        </w:rPr>
      </w:pPr>
      <w:r>
        <w:rPr>
          <w:szCs w:val="21"/>
          <w:lang w:val="zh-CN"/>
        </w:rPr>
        <w:t>一标段总面积约</w:t>
      </w:r>
      <w:r>
        <w:rPr>
          <w:szCs w:val="21"/>
          <w:u w:val="single"/>
        </w:rPr>
        <w:t xml:space="preserve"> </w:t>
      </w:r>
      <w:r>
        <w:rPr>
          <w:rFonts w:hint="eastAsia"/>
          <w:szCs w:val="21"/>
          <w:u w:val="single"/>
        </w:rPr>
        <w:t>75</w:t>
      </w:r>
      <w:r>
        <w:rPr>
          <w:szCs w:val="21"/>
          <w:u w:val="single"/>
        </w:rPr>
        <w:t>万</w:t>
      </w:r>
      <w:r>
        <w:rPr>
          <w:szCs w:val="21"/>
        </w:rPr>
        <w:t xml:space="preserve">平方米 </w:t>
      </w:r>
      <w:r>
        <w:rPr>
          <w:szCs w:val="21"/>
          <w:lang w:val="zh-CN"/>
        </w:rPr>
        <w:t>，品种有美国红枫、榉树、西府海棠、无患子、银杏、紫叶李等</w:t>
      </w:r>
      <w:bookmarkStart w:id="11" w:name="_Hlk36750214"/>
      <w:r>
        <w:rPr>
          <w:szCs w:val="21"/>
          <w:lang w:val="zh-CN"/>
        </w:rPr>
        <w:t>乔灌木</w:t>
      </w:r>
      <w:bookmarkEnd w:id="11"/>
      <w:r>
        <w:rPr>
          <w:szCs w:val="21"/>
          <w:lang w:val="zh-CN"/>
        </w:rPr>
        <w:t xml:space="preserve">。二标段总面积约 </w:t>
      </w:r>
      <w:r>
        <w:rPr>
          <w:rFonts w:hint="eastAsia"/>
          <w:szCs w:val="21"/>
          <w:u w:val="single"/>
          <w:lang w:val="zh-CN"/>
        </w:rPr>
        <w:t>81</w:t>
      </w:r>
      <w:r>
        <w:rPr>
          <w:szCs w:val="21"/>
          <w:u w:val="single"/>
          <w:lang w:val="zh-CN"/>
        </w:rPr>
        <w:t>万</w:t>
      </w:r>
      <w:r>
        <w:rPr>
          <w:szCs w:val="21"/>
          <w:lang w:val="zh-CN"/>
        </w:rPr>
        <w:t>平方米，品种有落羽杉、无患子、朴树、金森女贞球、红花槐、栾树等乔灌木。</w:t>
      </w:r>
    </w:p>
    <w:p>
      <w:pPr>
        <w:ind w:firstLine="420" w:firstLineChars="200"/>
        <w:rPr>
          <w:szCs w:val="21"/>
          <w:lang w:val="zh-CN"/>
        </w:rPr>
      </w:pPr>
      <w:r>
        <w:rPr>
          <w:szCs w:val="21"/>
          <w:lang w:val="zh-CN"/>
        </w:rPr>
        <w:t>标段划分具体范围见</w:t>
      </w:r>
      <w:r>
        <w:rPr>
          <w:rFonts w:hint="eastAsia"/>
          <w:szCs w:val="21"/>
        </w:rPr>
        <w:t>示意图</w:t>
      </w:r>
      <w:r>
        <w:rPr>
          <w:szCs w:val="21"/>
          <w:lang w:val="zh-CN"/>
        </w:rPr>
        <w:t>。</w:t>
      </w:r>
    </w:p>
    <w:p>
      <w:pPr>
        <w:ind w:firstLine="420" w:firstLineChars="200"/>
      </w:pPr>
      <w:r>
        <w:rPr>
          <w:szCs w:val="21"/>
          <w:lang w:val="zh-CN"/>
        </w:rPr>
        <w:t>各类苗木种类及数量详见</w:t>
      </w:r>
      <w:r>
        <w:rPr>
          <w:rFonts w:hint="eastAsia"/>
          <w:szCs w:val="21"/>
        </w:rPr>
        <w:t>苗木统计表</w:t>
      </w:r>
      <w:r>
        <w:rPr>
          <w:szCs w:val="21"/>
          <w:lang w:val="zh-CN"/>
        </w:rPr>
        <w:t>。</w:t>
      </w:r>
    </w:p>
    <w:p>
      <w:pPr>
        <w:ind w:firstLine="422" w:firstLineChars="200"/>
        <w:rPr>
          <w:b/>
          <w:bCs/>
        </w:rPr>
      </w:pPr>
      <w:r>
        <w:rPr>
          <w:b/>
          <w:bCs/>
          <w:lang w:val="zh-CN"/>
        </w:rPr>
        <w:t>说明：①本项目同一供应商最多只能中一个标段；②评定标顺序：先评一标段再评二标段，当供应商已确定为一标段第一中标候选人时，</w:t>
      </w:r>
      <w:r>
        <w:rPr>
          <w:rFonts w:hint="eastAsia"/>
          <w:b/>
          <w:bCs/>
          <w:lang w:val="zh-CN"/>
        </w:rPr>
        <w:t>将不得参与</w:t>
      </w:r>
      <w:r>
        <w:rPr>
          <w:b/>
          <w:bCs/>
          <w:lang w:val="zh-CN"/>
        </w:rPr>
        <w:t>二标段磋商评审</w:t>
      </w:r>
      <w:r>
        <w:rPr>
          <w:rFonts w:hint="eastAsia"/>
          <w:b/>
          <w:bCs/>
          <w:lang w:val="zh-CN"/>
        </w:rPr>
        <w:t>。</w:t>
      </w:r>
      <w:r>
        <w:rPr>
          <w:b/>
          <w:bCs/>
        </w:rPr>
        <w:t xml:space="preserve"> </w:t>
      </w:r>
    </w:p>
    <w:p>
      <w:pPr>
        <w:ind w:firstLine="420" w:firstLineChars="200"/>
        <w:rPr>
          <w:szCs w:val="21"/>
          <w:lang w:val="zh-CN"/>
        </w:rPr>
      </w:pPr>
      <w:r>
        <w:rPr>
          <w:szCs w:val="21"/>
          <w:lang w:val="zh-CN"/>
        </w:rPr>
        <w:t>（五）计划养护工期：三</w:t>
      </w:r>
      <w:r>
        <w:rPr>
          <w:rFonts w:hint="eastAsia" w:ascii="仿宋_GB2312"/>
          <w:szCs w:val="21"/>
          <w:lang w:val="zh-CN"/>
        </w:rPr>
        <w:t>年（</w:t>
      </w:r>
      <w:r>
        <w:rPr>
          <w:rFonts w:hint="eastAsia" w:ascii="仿宋_GB2312"/>
          <w:szCs w:val="21"/>
        </w:rPr>
        <w:t>2022年5月</w:t>
      </w:r>
      <w:r>
        <w:rPr>
          <w:rFonts w:hint="eastAsia" w:ascii="仿宋_GB2312"/>
          <w:szCs w:val="21"/>
          <w:lang w:val="en-US" w:eastAsia="zh-CN"/>
        </w:rPr>
        <w:t>10</w:t>
      </w:r>
      <w:r>
        <w:rPr>
          <w:rFonts w:hint="eastAsia" w:ascii="仿宋_GB2312"/>
          <w:szCs w:val="21"/>
        </w:rPr>
        <w:t>日-2025年</w:t>
      </w:r>
      <w:r>
        <w:rPr>
          <w:rFonts w:hint="eastAsia" w:ascii="仿宋_GB2312"/>
          <w:szCs w:val="21"/>
          <w:lang w:val="en-US" w:eastAsia="zh-CN"/>
        </w:rPr>
        <w:t>5</w:t>
      </w:r>
      <w:r>
        <w:rPr>
          <w:rFonts w:hint="eastAsia" w:ascii="仿宋_GB2312"/>
          <w:szCs w:val="21"/>
        </w:rPr>
        <w:t>月</w:t>
      </w:r>
      <w:r>
        <w:rPr>
          <w:rFonts w:hint="eastAsia" w:ascii="仿宋_GB2312"/>
          <w:szCs w:val="21"/>
          <w:lang w:val="en-US" w:eastAsia="zh-CN"/>
        </w:rPr>
        <w:t>9</w:t>
      </w:r>
      <w:r>
        <w:rPr>
          <w:rFonts w:hint="eastAsia" w:ascii="仿宋_GB2312"/>
          <w:szCs w:val="21"/>
        </w:rPr>
        <w:t>日</w:t>
      </w:r>
      <w:r>
        <w:rPr>
          <w:rFonts w:hint="eastAsia" w:ascii="仿宋_GB2312"/>
          <w:szCs w:val="21"/>
          <w:lang w:val="zh-CN"/>
        </w:rPr>
        <w:t>），具体</w:t>
      </w:r>
      <w:r>
        <w:rPr>
          <w:rFonts w:hint="eastAsia"/>
          <w:szCs w:val="21"/>
          <w:lang w:val="zh-CN"/>
        </w:rPr>
        <w:t>日期</w:t>
      </w:r>
      <w:r>
        <w:rPr>
          <w:rFonts w:hint="eastAsia"/>
          <w:szCs w:val="21"/>
          <w:lang w:val="en-US" w:eastAsia="zh-CN"/>
        </w:rPr>
        <w:t>以</w:t>
      </w:r>
      <w:r>
        <w:rPr>
          <w:rFonts w:hint="eastAsia"/>
          <w:szCs w:val="21"/>
          <w:lang w:val="zh-CN"/>
        </w:rPr>
        <w:t>合同签订日期为准。</w:t>
      </w:r>
    </w:p>
    <w:p>
      <w:pPr>
        <w:ind w:firstLine="420" w:firstLineChars="200"/>
        <w:rPr>
          <w:rFonts w:hint="eastAsia"/>
          <w:szCs w:val="21"/>
        </w:rPr>
      </w:pPr>
      <w:r>
        <w:rPr>
          <w:szCs w:val="21"/>
          <w:lang w:val="zh-CN"/>
        </w:rPr>
        <w:t>（六）养护质量要求：每年度苗木成活率达到9</w:t>
      </w:r>
      <w:r>
        <w:rPr>
          <w:szCs w:val="21"/>
        </w:rPr>
        <w:t>8</w:t>
      </w:r>
      <w:r>
        <w:rPr>
          <w:szCs w:val="21"/>
          <w:lang w:val="zh-CN"/>
        </w:rPr>
        <w:t>%以上</w:t>
      </w:r>
      <w:r>
        <w:rPr>
          <w:szCs w:val="21"/>
        </w:rPr>
        <w:t>，（不可抗力除外）。</w:t>
      </w:r>
    </w:p>
    <w:p>
      <w:pPr>
        <w:pStyle w:val="2"/>
        <w:ind w:firstLine="480"/>
        <w:rPr>
          <w:rFonts w:hint="eastAsia"/>
          <w:sz w:val="24"/>
        </w:rPr>
      </w:pPr>
    </w:p>
    <w:p>
      <w:pPr>
        <w:pStyle w:val="2"/>
        <w:ind w:firstLine="480"/>
        <w:rPr>
          <w:rFonts w:hint="eastAsia"/>
          <w:sz w:val="24"/>
        </w:rPr>
      </w:pPr>
    </w:p>
    <w:p>
      <w:pPr>
        <w:pStyle w:val="2"/>
        <w:ind w:firstLine="480"/>
        <w:rPr>
          <w:rFonts w:hint="eastAsia"/>
          <w:sz w:val="24"/>
        </w:rPr>
      </w:pPr>
    </w:p>
    <w:p>
      <w:pPr>
        <w:pStyle w:val="2"/>
        <w:ind w:firstLine="480"/>
        <w:rPr>
          <w:rFonts w:hint="eastAsia"/>
          <w:sz w:val="24"/>
        </w:rPr>
      </w:pPr>
    </w:p>
    <w:p>
      <w:pPr>
        <w:pStyle w:val="2"/>
        <w:ind w:firstLine="480"/>
        <w:rPr>
          <w:rFonts w:hint="eastAsia"/>
          <w:sz w:val="24"/>
        </w:rPr>
      </w:pPr>
    </w:p>
    <w:p>
      <w:pPr>
        <w:pStyle w:val="2"/>
        <w:ind w:firstLine="480"/>
        <w:rPr>
          <w:rFonts w:hint="eastAsia"/>
          <w:sz w:val="24"/>
        </w:rPr>
      </w:pPr>
    </w:p>
    <w:p>
      <w:pPr>
        <w:pStyle w:val="2"/>
        <w:ind w:firstLine="480"/>
        <w:rPr>
          <w:rFonts w:hint="eastAsia"/>
          <w:sz w:val="24"/>
        </w:rPr>
      </w:pPr>
    </w:p>
    <w:p>
      <w:pPr>
        <w:pStyle w:val="2"/>
        <w:ind w:firstLine="480"/>
        <w:rPr>
          <w:sz w:val="24"/>
        </w:rPr>
        <w:sectPr>
          <w:footerReference r:id="rId8" w:type="default"/>
          <w:pgSz w:w="11906" w:h="16838"/>
          <w:pgMar w:top="1003" w:right="1003" w:bottom="1003" w:left="1003" w:header="851" w:footer="992" w:gutter="0"/>
          <w:pgNumType w:start="1"/>
          <w:cols w:space="720" w:num="1"/>
          <w:docGrid w:type="lines" w:linePitch="319" w:charSpace="0"/>
        </w:sectPr>
      </w:pPr>
    </w:p>
    <w:tbl>
      <w:tblPr>
        <w:tblStyle w:val="8"/>
        <w:tblW w:w="5000" w:type="pct"/>
        <w:tblInd w:w="0" w:type="dxa"/>
        <w:tblLayout w:type="autofit"/>
        <w:tblCellMar>
          <w:top w:w="0" w:type="dxa"/>
          <w:left w:w="108" w:type="dxa"/>
          <w:bottom w:w="0" w:type="dxa"/>
          <w:right w:w="108" w:type="dxa"/>
        </w:tblCellMar>
      </w:tblPr>
      <w:tblGrid>
        <w:gridCol w:w="1013"/>
        <w:gridCol w:w="1544"/>
        <w:gridCol w:w="5204"/>
        <w:gridCol w:w="1236"/>
        <w:gridCol w:w="1013"/>
        <w:gridCol w:w="1544"/>
        <w:gridCol w:w="2257"/>
        <w:gridCol w:w="1237"/>
      </w:tblGrid>
      <w:tr>
        <w:tblPrEx>
          <w:tblCellMar>
            <w:top w:w="0" w:type="dxa"/>
            <w:left w:w="108" w:type="dxa"/>
            <w:bottom w:w="0" w:type="dxa"/>
            <w:right w:w="108" w:type="dxa"/>
          </w:tblCellMar>
        </w:tblPrEx>
        <w:trPr>
          <w:trHeight w:val="507" w:hRule="exact"/>
        </w:trPr>
        <w:tc>
          <w:tcPr>
            <w:tcW w:w="0" w:type="auto"/>
            <w:gridSpan w:val="8"/>
            <w:tcBorders>
              <w:top w:val="single" w:color="auto" w:sz="8" w:space="0"/>
              <w:left w:val="single" w:color="auto" w:sz="8" w:space="0"/>
              <w:bottom w:val="single" w:color="auto" w:sz="4" w:space="0"/>
              <w:right w:val="single" w:color="auto" w:sz="8" w:space="0"/>
            </w:tcBorders>
            <w:noWrap/>
            <w:vAlign w:val="center"/>
          </w:tcPr>
          <w:p>
            <w:pPr>
              <w:widowControl/>
              <w:tabs>
                <w:tab w:val="left" w:pos="6418"/>
              </w:tabs>
              <w:spacing w:line="240" w:lineRule="auto"/>
              <w:jc w:val="left"/>
              <w:rPr>
                <w:b/>
                <w:bCs/>
                <w:color w:val="000000"/>
                <w:sz w:val="24"/>
              </w:rPr>
            </w:pPr>
            <w:r>
              <w:rPr>
                <w:rFonts w:hint="eastAsia"/>
                <w:b/>
                <w:bCs/>
                <w:color w:val="000000"/>
                <w:sz w:val="24"/>
              </w:rPr>
              <w:tab/>
            </w:r>
            <w:r>
              <w:rPr>
                <w:rFonts w:hint="eastAsia"/>
                <w:b/>
                <w:bCs/>
                <w:color w:val="000000"/>
                <w:sz w:val="24"/>
              </w:rPr>
              <w:t>苗木统计表</w:t>
            </w:r>
          </w:p>
        </w:tc>
      </w:tr>
      <w:tr>
        <w:tblPrEx>
          <w:tblCellMar>
            <w:top w:w="0" w:type="dxa"/>
            <w:left w:w="108" w:type="dxa"/>
            <w:bottom w:w="0" w:type="dxa"/>
            <w:right w:w="108" w:type="dxa"/>
          </w:tblCellMar>
        </w:tblPrEx>
        <w:trPr>
          <w:trHeight w:val="500" w:hRule="exact"/>
        </w:trPr>
        <w:tc>
          <w:tcPr>
            <w:tcW w:w="2873" w:type="pct"/>
            <w:gridSpan w:val="4"/>
            <w:tcBorders>
              <w:top w:val="single" w:color="auto" w:sz="8" w:space="0"/>
              <w:left w:val="single" w:color="auto" w:sz="8" w:space="0"/>
              <w:bottom w:val="single" w:color="auto" w:sz="4" w:space="0"/>
              <w:right w:val="single" w:color="000000" w:sz="8" w:space="0"/>
            </w:tcBorders>
            <w:noWrap/>
            <w:vAlign w:val="center"/>
          </w:tcPr>
          <w:p>
            <w:pPr>
              <w:widowControl/>
              <w:spacing w:line="240" w:lineRule="auto"/>
              <w:jc w:val="center"/>
              <w:rPr>
                <w:b/>
                <w:bCs/>
                <w:color w:val="000000"/>
                <w:sz w:val="28"/>
                <w:szCs w:val="28"/>
              </w:rPr>
            </w:pPr>
            <w:r>
              <w:rPr>
                <w:b/>
                <w:bCs/>
                <w:color w:val="000000"/>
                <w:sz w:val="28"/>
                <w:szCs w:val="28"/>
              </w:rPr>
              <w:t>一标段</w:t>
            </w:r>
          </w:p>
        </w:tc>
        <w:tc>
          <w:tcPr>
            <w:tcW w:w="2127" w:type="pct"/>
            <w:gridSpan w:val="4"/>
            <w:tcBorders>
              <w:top w:val="single" w:color="auto" w:sz="8" w:space="0"/>
              <w:left w:val="single" w:color="auto" w:sz="8" w:space="0"/>
              <w:bottom w:val="single" w:color="auto" w:sz="4" w:space="0"/>
              <w:right w:val="single" w:color="auto" w:sz="8" w:space="0"/>
            </w:tcBorders>
            <w:noWrap/>
            <w:vAlign w:val="center"/>
          </w:tcPr>
          <w:p>
            <w:pPr>
              <w:widowControl/>
              <w:spacing w:line="240" w:lineRule="auto"/>
              <w:jc w:val="center"/>
              <w:rPr>
                <w:b/>
                <w:bCs/>
                <w:color w:val="000000"/>
                <w:sz w:val="28"/>
                <w:szCs w:val="28"/>
              </w:rPr>
            </w:pPr>
            <w:r>
              <w:rPr>
                <w:b/>
                <w:bCs/>
                <w:color w:val="000000"/>
                <w:sz w:val="28"/>
                <w:szCs w:val="28"/>
              </w:rPr>
              <w:t>二标段</w:t>
            </w:r>
          </w:p>
        </w:tc>
      </w:tr>
      <w:tr>
        <w:tblPrEx>
          <w:tblCellMar>
            <w:top w:w="0" w:type="dxa"/>
            <w:left w:w="108" w:type="dxa"/>
            <w:bottom w:w="0" w:type="dxa"/>
            <w:right w:w="108" w:type="dxa"/>
          </w:tblCellMar>
        </w:tblPrEx>
        <w:trPr>
          <w:trHeight w:val="553" w:hRule="exact"/>
        </w:trPr>
        <w:tc>
          <w:tcPr>
            <w:tcW w:w="716" w:type="pct"/>
            <w:tcBorders>
              <w:top w:val="nil"/>
              <w:left w:val="single" w:color="auto" w:sz="8" w:space="0"/>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地块号</w:t>
            </w:r>
          </w:p>
        </w:tc>
        <w:tc>
          <w:tcPr>
            <w:tcW w:w="432" w:type="pct"/>
            <w:tcBorders>
              <w:top w:val="nil"/>
              <w:left w:val="nil"/>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面积（亩）</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栽植品种</w:t>
            </w:r>
          </w:p>
        </w:tc>
        <w:tc>
          <w:tcPr>
            <w:tcW w:w="356" w:type="pct"/>
            <w:tcBorders>
              <w:top w:val="nil"/>
              <w:left w:val="nil"/>
              <w:bottom w:val="single" w:color="auto" w:sz="4" w:space="0"/>
              <w:right w:val="single" w:color="auto" w:sz="8" w:space="0"/>
            </w:tcBorders>
            <w:noWrap w:val="0"/>
            <w:vAlign w:val="center"/>
          </w:tcPr>
          <w:p>
            <w:pPr>
              <w:widowControl/>
              <w:spacing w:line="240" w:lineRule="auto"/>
              <w:jc w:val="center"/>
              <w:rPr>
                <w:rFonts w:hint="eastAsia"/>
                <w:b/>
                <w:bCs/>
                <w:color w:val="000000"/>
                <w:kern w:val="0"/>
                <w:sz w:val="28"/>
                <w:szCs w:val="28"/>
              </w:rPr>
            </w:pPr>
            <w:r>
              <w:rPr>
                <w:b/>
                <w:bCs/>
                <w:color w:val="000000"/>
                <w:kern w:val="0"/>
                <w:sz w:val="28"/>
                <w:szCs w:val="28"/>
              </w:rPr>
              <w:t>备注</w:t>
            </w:r>
          </w:p>
        </w:tc>
        <w:tc>
          <w:tcPr>
            <w:tcW w:w="737" w:type="pct"/>
            <w:tcBorders>
              <w:top w:val="nil"/>
              <w:left w:val="nil"/>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地块号</w:t>
            </w:r>
          </w:p>
        </w:tc>
        <w:tc>
          <w:tcPr>
            <w:tcW w:w="430" w:type="pct"/>
            <w:tcBorders>
              <w:top w:val="nil"/>
              <w:left w:val="nil"/>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面积（亩）</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b/>
                <w:bCs/>
                <w:color w:val="000000"/>
                <w:kern w:val="0"/>
                <w:sz w:val="28"/>
                <w:szCs w:val="28"/>
              </w:rPr>
            </w:pPr>
            <w:r>
              <w:rPr>
                <w:b/>
                <w:bCs/>
                <w:color w:val="000000"/>
                <w:kern w:val="0"/>
                <w:sz w:val="28"/>
                <w:szCs w:val="28"/>
              </w:rPr>
              <w:t>栽植品种</w:t>
            </w:r>
          </w:p>
        </w:tc>
        <w:tc>
          <w:tcPr>
            <w:tcW w:w="338" w:type="pct"/>
            <w:tcBorders>
              <w:top w:val="nil"/>
              <w:left w:val="nil"/>
              <w:bottom w:val="single" w:color="auto" w:sz="4" w:space="0"/>
              <w:right w:val="single" w:color="auto" w:sz="8" w:space="0"/>
            </w:tcBorders>
            <w:noWrap w:val="0"/>
            <w:vAlign w:val="center"/>
          </w:tcPr>
          <w:p>
            <w:pPr>
              <w:widowControl/>
              <w:spacing w:line="240" w:lineRule="auto"/>
              <w:jc w:val="center"/>
              <w:rPr>
                <w:rFonts w:hint="eastAsia"/>
                <w:b/>
                <w:bCs/>
                <w:color w:val="000000"/>
                <w:kern w:val="0"/>
                <w:sz w:val="28"/>
                <w:szCs w:val="28"/>
              </w:rPr>
            </w:pPr>
            <w:r>
              <w:rPr>
                <w:b/>
                <w:bCs/>
                <w:color w:val="000000"/>
                <w:kern w:val="0"/>
                <w:sz w:val="28"/>
                <w:szCs w:val="28"/>
              </w:rPr>
              <w:t>备注</w:t>
            </w:r>
          </w:p>
        </w:tc>
      </w:tr>
      <w:tr>
        <w:tblPrEx>
          <w:tblCellMar>
            <w:top w:w="0" w:type="dxa"/>
            <w:left w:w="108" w:type="dxa"/>
            <w:bottom w:w="0" w:type="dxa"/>
            <w:right w:w="108" w:type="dxa"/>
          </w:tblCellMar>
        </w:tblPrEx>
        <w:trPr>
          <w:trHeight w:val="432"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M1</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40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美国红枫</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扣除29亩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M2</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108</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榉树</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
                <w:bCs/>
                <w:color w:val="000000"/>
                <w:sz w:val="24"/>
              </w:rPr>
              <w:t>　</w:t>
            </w:r>
          </w:p>
        </w:tc>
      </w:tr>
      <w:tr>
        <w:tblPrEx>
          <w:tblCellMar>
            <w:top w:w="0" w:type="dxa"/>
            <w:left w:w="108" w:type="dxa"/>
            <w:bottom w:w="0" w:type="dxa"/>
            <w:right w:w="108" w:type="dxa"/>
          </w:tblCellMar>
        </w:tblPrEx>
        <w:trPr>
          <w:trHeight w:val="424"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57</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美国红枫、榉树</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M4</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60</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北美海棠、西府海棠</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扣除21亩</w:t>
            </w:r>
          </w:p>
        </w:tc>
      </w:tr>
      <w:tr>
        <w:tblPrEx>
          <w:tblCellMar>
            <w:top w:w="0" w:type="dxa"/>
            <w:left w:w="108" w:type="dxa"/>
            <w:bottom w:w="0" w:type="dxa"/>
            <w:right w:w="108" w:type="dxa"/>
          </w:tblCellMar>
        </w:tblPrEx>
        <w:trPr>
          <w:trHeight w:val="416"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M5</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60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美国红枫、西府海棠</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扣除22亩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M37</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59</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栾树</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431"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M6</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165</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落羽杉、女贞</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M12</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303</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朴树、乌桕</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417"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M7</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40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红叶石楠球、无患子</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扣除40亩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M11</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100</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朴树、红花槐</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扣除83亩</w:t>
            </w:r>
          </w:p>
        </w:tc>
      </w:tr>
      <w:tr>
        <w:tblPrEx>
          <w:tblCellMar>
            <w:top w:w="0" w:type="dxa"/>
            <w:left w:w="108" w:type="dxa"/>
            <w:bottom w:w="0" w:type="dxa"/>
            <w:right w:w="108" w:type="dxa"/>
          </w:tblCellMar>
        </w:tblPrEx>
        <w:trPr>
          <w:trHeight w:val="436"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M9</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150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各种球类</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M38</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100</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榉树、栾树</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414"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M13</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60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广玉兰、女贞</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扣除33亩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H1</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102</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北美海棠</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568"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M15</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50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树状石楠</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扣除16亩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H2</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123</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紫叶李</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704"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M36</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344</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银杏、女贞、榉树、</w:t>
            </w:r>
            <w:r>
              <w:rPr>
                <w:rFonts w:hint="eastAsia"/>
                <w:color w:val="000000"/>
                <w:kern w:val="0"/>
                <w:sz w:val="24"/>
              </w:rPr>
              <w:t>紫叶李、樱花、黄金槐、紫薇</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H5</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75</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垂丝海棠</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563"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M28</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18</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乌桕</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H6</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44</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紫薇</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557"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M31</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40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香樟</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H8</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37</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三角枫</w:t>
            </w:r>
            <w:r>
              <w:rPr>
                <w:rFonts w:hint="eastAsia"/>
                <w:color w:val="000000"/>
                <w:kern w:val="0"/>
                <w:sz w:val="24"/>
              </w:rPr>
              <w:t>、香樟</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　</w:t>
            </w:r>
          </w:p>
        </w:tc>
      </w:tr>
      <w:tr>
        <w:tblPrEx>
          <w:tblCellMar>
            <w:top w:w="0" w:type="dxa"/>
            <w:left w:w="108" w:type="dxa"/>
            <w:bottom w:w="0" w:type="dxa"/>
            <w:right w:w="108" w:type="dxa"/>
          </w:tblCellMar>
        </w:tblPrEx>
        <w:trPr>
          <w:trHeight w:val="578"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M32</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20</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无患子</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　</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H9</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30</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晚樱</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Cs/>
                <w:color w:val="000000"/>
                <w:sz w:val="24"/>
              </w:rPr>
              <w:t>扣除38亩</w:t>
            </w:r>
          </w:p>
        </w:tc>
      </w:tr>
      <w:tr>
        <w:tblPrEx>
          <w:tblCellMar>
            <w:top w:w="0" w:type="dxa"/>
            <w:left w:w="108" w:type="dxa"/>
            <w:bottom w:w="0" w:type="dxa"/>
            <w:right w:w="108" w:type="dxa"/>
          </w:tblCellMar>
        </w:tblPrEx>
        <w:trPr>
          <w:trHeight w:val="566"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M34</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75</w:t>
            </w:r>
          </w:p>
        </w:tc>
        <w:tc>
          <w:tcPr>
            <w:tcW w:w="137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无患子、早樱、七叶树</w:t>
            </w:r>
          </w:p>
        </w:tc>
        <w:tc>
          <w:tcPr>
            <w:tcW w:w="356" w:type="pct"/>
            <w:tcBorders>
              <w:top w:val="single" w:color="auto" w:sz="4" w:space="0"/>
              <w:left w:val="nil"/>
              <w:bottom w:val="single" w:color="auto" w:sz="4" w:space="0"/>
              <w:right w:val="single" w:color="auto" w:sz="8" w:space="0"/>
            </w:tcBorders>
            <w:noWrap/>
            <w:vAlign w:val="center"/>
          </w:tcPr>
          <w:p>
            <w:pPr>
              <w:widowControl/>
              <w:spacing w:line="240" w:lineRule="auto"/>
              <w:jc w:val="center"/>
              <w:rPr>
                <w:rFonts w:eastAsia="等线"/>
                <w:color w:val="000000"/>
                <w:kern w:val="0"/>
                <w:sz w:val="24"/>
              </w:rPr>
            </w:pPr>
            <w:r>
              <w:rPr>
                <w:rFonts w:hint="eastAsia"/>
                <w:color w:val="000000"/>
                <w:sz w:val="24"/>
              </w:rPr>
              <w:t>扣除79亩</w:t>
            </w:r>
          </w:p>
        </w:tc>
        <w:tc>
          <w:tcPr>
            <w:tcW w:w="737" w:type="pct"/>
            <w:tcBorders>
              <w:top w:val="single" w:color="auto" w:sz="4" w:space="0"/>
              <w:left w:val="nil"/>
              <w:bottom w:val="single" w:color="auto" w:sz="4" w:space="0"/>
              <w:right w:val="single" w:color="auto" w:sz="4" w:space="0"/>
            </w:tcBorders>
            <w:noWrap/>
            <w:vAlign w:val="center"/>
          </w:tcPr>
          <w:p>
            <w:pPr>
              <w:widowControl/>
              <w:spacing w:line="240" w:lineRule="auto"/>
              <w:jc w:val="center"/>
              <w:rPr>
                <w:color w:val="000000"/>
                <w:kern w:val="0"/>
                <w:sz w:val="24"/>
              </w:rPr>
            </w:pPr>
            <w:r>
              <w:rPr>
                <w:rFonts w:hint="eastAsia"/>
                <w:color w:val="000000"/>
                <w:sz w:val="24"/>
              </w:rPr>
              <w:t>H12</w:t>
            </w:r>
          </w:p>
        </w:tc>
        <w:tc>
          <w:tcPr>
            <w:tcW w:w="43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color w:val="000000"/>
                <w:sz w:val="24"/>
              </w:rPr>
              <w:t>69</w:t>
            </w:r>
          </w:p>
        </w:tc>
        <w:tc>
          <w:tcPr>
            <w:tcW w:w="622"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color w:val="000000"/>
                <w:kern w:val="0"/>
                <w:sz w:val="24"/>
              </w:rPr>
              <w:t>速生法桐</w:t>
            </w:r>
          </w:p>
        </w:tc>
        <w:tc>
          <w:tcPr>
            <w:tcW w:w="338"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eastAsia="等线"/>
                <w:color w:val="000000"/>
                <w:kern w:val="0"/>
                <w:sz w:val="24"/>
              </w:rPr>
            </w:pPr>
            <w:r>
              <w:rPr>
                <w:rFonts w:hint="eastAsia"/>
                <w:b/>
                <w:bCs/>
                <w:color w:val="000000"/>
                <w:sz w:val="24"/>
              </w:rPr>
              <w:t>　</w:t>
            </w:r>
          </w:p>
        </w:tc>
      </w:tr>
      <w:tr>
        <w:tblPrEx>
          <w:tblCellMar>
            <w:top w:w="0" w:type="dxa"/>
            <w:left w:w="108" w:type="dxa"/>
            <w:bottom w:w="0" w:type="dxa"/>
            <w:right w:w="108" w:type="dxa"/>
          </w:tblCellMar>
        </w:tblPrEx>
        <w:trPr>
          <w:trHeight w:val="560" w:hRule="exact"/>
        </w:trPr>
        <w:tc>
          <w:tcPr>
            <w:tcW w:w="71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color w:val="000000"/>
                <w:sz w:val="24"/>
              </w:rPr>
            </w:pPr>
            <w:r>
              <w:rPr>
                <w:rFonts w:hint="eastAsia"/>
                <w:color w:val="000000"/>
                <w:sz w:val="24"/>
              </w:rPr>
              <w:t>合计</w:t>
            </w:r>
          </w:p>
        </w:tc>
        <w:tc>
          <w:tcPr>
            <w:tcW w:w="2157" w:type="pct"/>
            <w:gridSpan w:val="3"/>
            <w:tcBorders>
              <w:top w:val="single" w:color="auto" w:sz="4" w:space="0"/>
              <w:left w:val="nil"/>
              <w:bottom w:val="single" w:color="auto" w:sz="4" w:space="0"/>
              <w:right w:val="single" w:color="auto" w:sz="8" w:space="0"/>
            </w:tcBorders>
            <w:noWrap/>
            <w:vAlign w:val="center"/>
          </w:tcPr>
          <w:p>
            <w:pPr>
              <w:widowControl/>
              <w:spacing w:line="240" w:lineRule="auto"/>
              <w:jc w:val="center"/>
              <w:rPr>
                <w:rFonts w:hint="eastAsia"/>
                <w:color w:val="000000"/>
                <w:sz w:val="24"/>
              </w:rPr>
            </w:pPr>
            <w:r>
              <w:rPr>
                <w:rFonts w:hint="eastAsia"/>
                <w:color w:val="000000"/>
                <w:sz w:val="24"/>
              </w:rPr>
              <w:t>1119亩</w:t>
            </w:r>
          </w:p>
        </w:tc>
        <w:tc>
          <w:tcPr>
            <w:tcW w:w="2127" w:type="pct"/>
            <w:gridSpan w:val="4"/>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b/>
                <w:bCs/>
                <w:color w:val="000000"/>
                <w:sz w:val="24"/>
              </w:rPr>
            </w:pPr>
            <w:r>
              <w:rPr>
                <w:rFonts w:hint="eastAsia"/>
                <w:b/>
                <w:bCs/>
                <w:color w:val="000000"/>
                <w:sz w:val="24"/>
              </w:rPr>
              <w:t>1210亩</w:t>
            </w:r>
          </w:p>
        </w:tc>
      </w:tr>
      <w:tr>
        <w:tblPrEx>
          <w:tblCellMar>
            <w:top w:w="0" w:type="dxa"/>
            <w:left w:w="108" w:type="dxa"/>
            <w:bottom w:w="0" w:type="dxa"/>
            <w:right w:w="108" w:type="dxa"/>
          </w:tblCellMar>
        </w:tblPrEx>
        <w:trPr>
          <w:trHeight w:val="708" w:hRule="exact"/>
        </w:trPr>
        <w:tc>
          <w:tcPr>
            <w:tcW w:w="5000" w:type="pct"/>
            <w:gridSpan w:val="8"/>
            <w:tcBorders>
              <w:top w:val="single" w:color="auto" w:sz="4" w:space="0"/>
              <w:left w:val="single" w:color="auto" w:sz="8" w:space="0"/>
              <w:bottom w:val="single" w:color="auto" w:sz="8" w:space="0"/>
              <w:right w:val="single" w:color="auto" w:sz="8" w:space="0"/>
            </w:tcBorders>
            <w:noWrap/>
            <w:vAlign w:val="center"/>
          </w:tcPr>
          <w:p>
            <w:pPr>
              <w:widowControl/>
              <w:spacing w:line="240" w:lineRule="auto"/>
              <w:jc w:val="left"/>
              <w:rPr>
                <w:rFonts w:eastAsia="等线"/>
                <w:color w:val="000000"/>
                <w:kern w:val="0"/>
                <w:sz w:val="24"/>
              </w:rPr>
            </w:pPr>
            <w:r>
              <w:rPr>
                <w:rFonts w:hint="eastAsia"/>
                <w:color w:val="000000"/>
                <w:sz w:val="24"/>
              </w:rPr>
              <w:t>备注：苗木规格以5-10公分为主，低于5cm、大于10cm的占少数。</w:t>
            </w:r>
          </w:p>
        </w:tc>
      </w:tr>
    </w:tbl>
    <w:p>
      <w:pPr>
        <w:rPr>
          <w:rFonts w:hint="eastAsia"/>
          <w:szCs w:val="21"/>
        </w:rPr>
      </w:pPr>
    </w:p>
    <w:p>
      <w:pPr>
        <w:rPr>
          <w:szCs w:val="21"/>
        </w:rPr>
        <w:sectPr>
          <w:footerReference r:id="rId9" w:type="default"/>
          <w:pgSz w:w="16838" w:h="11906" w:orient="landscape"/>
          <w:pgMar w:top="1003" w:right="1003" w:bottom="1003" w:left="1003" w:header="851" w:footer="992" w:gutter="0"/>
          <w:cols w:space="720" w:num="1"/>
          <w:docGrid w:type="lines" w:linePitch="319" w:charSpace="0"/>
        </w:sectPr>
      </w:pPr>
      <w:r>
        <w:rPr>
          <w:szCs w:val="21"/>
        </w:rPr>
        <w:drawing>
          <wp:anchor distT="0" distB="0" distL="114300" distR="114300" simplePos="0" relativeHeight="251659264" behindDoc="0" locked="0" layoutInCell="1" allowOverlap="1">
            <wp:simplePos x="0" y="0"/>
            <wp:positionH relativeFrom="column">
              <wp:posOffset>64770</wp:posOffset>
            </wp:positionH>
            <wp:positionV relativeFrom="paragraph">
              <wp:posOffset>-140335</wp:posOffset>
            </wp:positionV>
            <wp:extent cx="9227820" cy="6261735"/>
            <wp:effectExtent l="0" t="0" r="11430" b="5715"/>
            <wp:wrapNone/>
            <wp:docPr id="1" name="图片 3" descr="C:\Users\wang\Documents\Tencent Files\394422012\Image\C2C\D8@[SI(M_9JKL%3WC[IX7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wang\Documents\Tencent Files\394422012\Image\C2C\D8@[SI(M_9JKL%3WC[IX7BF.jpg"/>
                    <pic:cNvPicPr>
                      <a:picLocks noChangeAspect="1"/>
                    </pic:cNvPicPr>
                  </pic:nvPicPr>
                  <pic:blipFill>
                    <a:blip r:embed="rId13"/>
                    <a:stretch>
                      <a:fillRect/>
                    </a:stretch>
                  </pic:blipFill>
                  <pic:spPr>
                    <a:xfrm>
                      <a:off x="0" y="0"/>
                      <a:ext cx="9227820" cy="6261735"/>
                    </a:xfrm>
                    <a:prstGeom prst="rect">
                      <a:avLst/>
                    </a:prstGeom>
                    <a:noFill/>
                    <a:ln>
                      <a:noFill/>
                    </a:ln>
                  </pic:spPr>
                </pic:pic>
              </a:graphicData>
            </a:graphic>
          </wp:anchor>
        </w:drawing>
      </w:r>
    </w:p>
    <w:p>
      <w:pPr>
        <w:ind w:firstLine="422"/>
        <w:rPr>
          <w:rFonts w:ascii="仿宋_GB2312"/>
          <w:kern w:val="0"/>
        </w:rPr>
      </w:pPr>
      <w:r>
        <w:rPr>
          <w:rFonts w:hint="eastAsia" w:ascii="仿宋_GB2312"/>
          <w:b/>
        </w:rPr>
        <w:t>二、供应商资格要求</w:t>
      </w:r>
    </w:p>
    <w:p>
      <w:pPr>
        <w:ind w:firstLine="315"/>
        <w:rPr>
          <w:rFonts w:ascii="仿宋_GB2312"/>
        </w:rPr>
      </w:pPr>
      <w:bookmarkStart w:id="12" w:name="EBd56533e2936846b6ad38869e4b724da4"/>
      <w:r>
        <w:rPr>
          <w:rFonts w:hint="eastAsia" w:ascii="仿宋_GB2312"/>
        </w:rPr>
        <w:t>（一）供应商参加本次磋商活动应当符合《中华人民共和国政府采购法》第二十二条、《中华人民共和国政府采购法实施条例》第十七条的规定，并提供下列材料；</w:t>
      </w:r>
    </w:p>
    <w:p>
      <w:pPr>
        <w:ind w:firstLine="315"/>
        <w:rPr>
          <w:rFonts w:ascii="仿宋_GB2312"/>
        </w:rPr>
      </w:pPr>
      <w:r>
        <w:rPr>
          <w:rFonts w:hint="eastAsia" w:ascii="仿宋_GB2312"/>
        </w:rPr>
        <w:t>1、法人或者其他组织的营业执照副本和税务登记证等证明文件(或“三证合一”的营业执照或事业单位法人证书)；</w:t>
      </w:r>
    </w:p>
    <w:p>
      <w:pPr>
        <w:ind w:firstLine="420" w:firstLineChars="200"/>
        <w:rPr>
          <w:rFonts w:hint="eastAsia"/>
          <w:szCs w:val="21"/>
        </w:rPr>
      </w:pPr>
      <w:r>
        <w:rPr>
          <w:rFonts w:hint="eastAsia" w:ascii="仿宋_GB2312"/>
        </w:rPr>
        <w:t>2、</w:t>
      </w:r>
      <w:r>
        <w:rPr>
          <w:szCs w:val="21"/>
        </w:rPr>
        <w:t>20</w:t>
      </w:r>
      <w:r>
        <w:rPr>
          <w:rFonts w:hint="eastAsia"/>
          <w:szCs w:val="21"/>
        </w:rPr>
        <w:t>20、</w:t>
      </w:r>
      <w:r>
        <w:rPr>
          <w:szCs w:val="21"/>
        </w:rPr>
        <w:t>20</w:t>
      </w:r>
      <w:r>
        <w:rPr>
          <w:rFonts w:hint="eastAsia"/>
          <w:szCs w:val="21"/>
        </w:rPr>
        <w:t>21年度经审计的财务报告或</w:t>
      </w:r>
      <w:r>
        <w:rPr>
          <w:rFonts w:hint="eastAsia" w:ascii="仿宋_GB2312"/>
        </w:rPr>
        <w:t>银行出具的资信证明</w:t>
      </w:r>
      <w:r>
        <w:rPr>
          <w:rFonts w:hint="eastAsia"/>
          <w:szCs w:val="21"/>
        </w:rPr>
        <w:t>【法人或者其他组织成立未满二年的，按实际成立年限计算】。其中</w:t>
      </w:r>
      <w:r>
        <w:rPr>
          <w:szCs w:val="21"/>
        </w:rPr>
        <w:t>20</w:t>
      </w:r>
      <w:r>
        <w:rPr>
          <w:rFonts w:hint="eastAsia"/>
          <w:szCs w:val="21"/>
        </w:rPr>
        <w:t>21年度财务报告若因疫情原因还未完成审计，可不提供；</w:t>
      </w:r>
    </w:p>
    <w:p>
      <w:pPr>
        <w:ind w:firstLine="315"/>
        <w:rPr>
          <w:rFonts w:ascii="仿宋_GB2312"/>
        </w:rPr>
      </w:pPr>
      <w:r>
        <w:rPr>
          <w:rFonts w:hint="eastAsia" w:ascii="仿宋_GB2312"/>
        </w:rPr>
        <w:t>3、</w:t>
      </w:r>
      <w:bookmarkStart w:id="13" w:name="_Hlk37344923"/>
      <w:r>
        <w:rPr>
          <w:rFonts w:hint="eastAsia" w:ascii="仿宋_GB2312"/>
        </w:rPr>
        <w:t>2021年1月以来任意一月依法缴纳税收和社会保障资金的相关材料（指供应商依法缴纳税收和社会保障资金的凭据，依法免税或不需要缴纳社会保障资金的提供相应证明文件）；</w:t>
      </w:r>
    </w:p>
    <w:bookmarkEnd w:id="13"/>
    <w:p>
      <w:pPr>
        <w:ind w:firstLine="315"/>
        <w:rPr>
          <w:rFonts w:ascii="仿宋_GB2312"/>
        </w:rPr>
      </w:pPr>
      <w:r>
        <w:rPr>
          <w:rFonts w:hint="eastAsia" w:ascii="仿宋_GB2312"/>
        </w:rPr>
        <w:t>4、参加本次磋商活动前2年内（自磋商文件发出之日起计算）在经营活动中没有重大违法记录的书面声明；</w:t>
      </w:r>
    </w:p>
    <w:p>
      <w:pPr>
        <w:ind w:firstLine="315"/>
        <w:rPr>
          <w:rFonts w:ascii="仿宋_GB2312"/>
        </w:rPr>
      </w:pPr>
      <w:r>
        <w:rPr>
          <w:rFonts w:hint="eastAsia" w:ascii="仿宋_GB2312"/>
        </w:rPr>
        <w:t xml:space="preserve">5、具备履行合同所必需的设备和专业技术能力的证明材料； </w:t>
      </w:r>
    </w:p>
    <w:p>
      <w:pPr>
        <w:ind w:firstLine="315"/>
        <w:rPr>
          <w:rFonts w:ascii="仿宋_GB2312"/>
        </w:rPr>
      </w:pPr>
      <w:r>
        <w:rPr>
          <w:rFonts w:hint="eastAsia" w:ascii="仿宋_GB2312"/>
        </w:rPr>
        <w:t>6、具备法律、行政法规规定的其他条件的证明材料。</w:t>
      </w:r>
    </w:p>
    <w:p>
      <w:pPr>
        <w:ind w:firstLine="315"/>
        <w:rPr>
          <w:rFonts w:ascii="仿宋_GB2312"/>
        </w:rPr>
      </w:pPr>
      <w:r>
        <w:rPr>
          <w:rFonts w:hint="eastAsia" w:ascii="仿宋_GB2312"/>
        </w:rPr>
        <w:t>（二）供应商未被列入失信被执行人、重大税收违法案件当事人名单、政府采购严重违法失信行为记录名单。信用信息查询渠道为：“信用中国”网（www.creditchina.gov.cn）、“中国政府采购”网（www.ccgp.gov.cn）、江苏政府采购网（www.ccgp-jiangsu.gov.cn）。</w:t>
      </w:r>
    </w:p>
    <w:p>
      <w:pPr>
        <w:ind w:firstLine="315"/>
        <w:rPr>
          <w:rFonts w:ascii="仿宋_GB2312"/>
        </w:rPr>
      </w:pPr>
      <w:r>
        <w:rPr>
          <w:rFonts w:hint="eastAsia" w:ascii="仿宋_GB2312"/>
        </w:rPr>
        <w:t>（三）供应商须同时具备以下条件：</w:t>
      </w:r>
    </w:p>
    <w:p>
      <w:pPr>
        <w:ind w:firstLine="315"/>
        <w:rPr>
          <w:rFonts w:ascii="仿宋_GB2312"/>
        </w:rPr>
      </w:pPr>
      <w:r>
        <w:rPr>
          <w:rFonts w:hint="eastAsia" w:ascii="仿宋_GB2312"/>
        </w:rPr>
        <w:t>1、供应商营业执照经营范围或事业单位法人证业务范围包含园林绿化的养护等内容；</w:t>
      </w:r>
    </w:p>
    <w:p>
      <w:pPr>
        <w:ind w:firstLine="315"/>
        <w:rPr>
          <w:rFonts w:ascii="仿宋_GB2312"/>
        </w:rPr>
      </w:pPr>
      <w:r>
        <w:rPr>
          <w:rFonts w:hint="eastAsia" w:ascii="仿宋_GB2312"/>
        </w:rPr>
        <w:t>2、供应商拟选派的项目负责人及技术负责人须为本单位的正式员工，提供2021年1月1日以来供应商为其缴纳的任意连续三个月社会保险证明（以供应商所在地社保部门出具的证明为准）。</w:t>
      </w:r>
    </w:p>
    <w:p>
      <w:pPr>
        <w:ind w:firstLine="315"/>
        <w:rPr>
          <w:rFonts w:ascii="仿宋_GB2312"/>
        </w:rPr>
      </w:pPr>
      <w:r>
        <w:rPr>
          <w:rFonts w:hint="eastAsia" w:ascii="仿宋_GB2312"/>
        </w:rPr>
        <w:t>3、项目负责人须具有园林绿化相关专业（园林绿化、风景园林、园林、园艺或植保专业）中级及以上技术职称或具有二级市政建造师职业资格证书，技术负责人必须有园林绿化相关专业（园林绿化、风景园林、园林、园艺或植保专业）中级及以上技术职称。</w:t>
      </w:r>
    </w:p>
    <w:p>
      <w:pPr>
        <w:ind w:firstLine="315"/>
        <w:rPr>
          <w:rFonts w:ascii="仿宋_GB2312"/>
        </w:rPr>
      </w:pPr>
      <w:r>
        <w:rPr>
          <w:rFonts w:hint="eastAsia" w:ascii="仿宋_GB2312"/>
        </w:rPr>
        <w:t>4、企业自2019年1月1日以来（以合同签订时间为准）承接过单项合同金额在100万元及以上的城市绿地</w:t>
      </w:r>
      <w:r>
        <w:rPr>
          <w:rFonts w:hint="eastAsia" w:ascii="仿宋_GB2312"/>
          <w:szCs w:val="21"/>
        </w:rPr>
        <w:t>或苗圃</w:t>
      </w:r>
      <w:r>
        <w:rPr>
          <w:rFonts w:hint="eastAsia" w:ascii="仿宋_GB2312"/>
        </w:rPr>
        <w:t>的养护工程（包含正在执行的养护工程）（磋商响应文件中须提供经行政主管部门备案的中标通知书、合同等原件，合同中须体现合同签订时间、造价、项目类型、合同签订养护期等条款）。</w:t>
      </w:r>
    </w:p>
    <w:p>
      <w:pPr>
        <w:ind w:firstLine="315"/>
        <w:rPr>
          <w:rFonts w:ascii="仿宋_GB2312"/>
        </w:rPr>
      </w:pPr>
      <w:r>
        <w:rPr>
          <w:rFonts w:hint="eastAsia" w:ascii="仿宋_GB2312"/>
        </w:rPr>
        <w:t>（四）本项目不接受联合体响应。</w:t>
      </w:r>
    </w:p>
    <w:p>
      <w:pPr>
        <w:ind w:firstLine="315"/>
        <w:rPr>
          <w:rFonts w:ascii="仿宋_GB2312"/>
        </w:rPr>
      </w:pPr>
      <w:r>
        <w:rPr>
          <w:rFonts w:hint="eastAsia" w:ascii="仿宋_GB2312"/>
        </w:rPr>
        <w:t>注：为落实《淮安市人民政府关于实施新型冠状病毒感染肺炎疫情防控》的相关要求，参与本项目的供应商在进入交易场所前，应佩戴口罩，</w:t>
      </w:r>
      <w:r>
        <w:rPr>
          <w:rFonts w:hint="eastAsia" w:ascii="仿宋_GB2312"/>
          <w:szCs w:val="21"/>
        </w:rPr>
        <w:t>苏康码和行程卡为绿色且15日内无外市通行记录方可进入</w:t>
      </w:r>
      <w:r>
        <w:rPr>
          <w:rFonts w:hint="eastAsia" w:ascii="仿宋_GB2312"/>
        </w:rPr>
        <w:t>，同时应出示本单位授权委托书（格式详见附件，请自行打印、签署盖章，连同身份证一起随身携带备查），并经采购商代表确认。</w:t>
      </w:r>
      <w:bookmarkEnd w:id="12"/>
    </w:p>
    <w:p>
      <w:pPr>
        <w:ind w:firstLine="315"/>
        <w:rPr>
          <w:rFonts w:ascii="仿宋_GB2312"/>
        </w:rPr>
      </w:pPr>
      <w:r>
        <w:rPr>
          <w:rFonts w:hint="eastAsia" w:ascii="仿宋_GB2312"/>
        </w:rPr>
        <w:t>说明：</w:t>
      </w:r>
    </w:p>
    <w:p>
      <w:pPr>
        <w:ind w:firstLine="315"/>
        <w:rPr>
          <w:rFonts w:ascii="仿宋_GB2312"/>
        </w:rPr>
      </w:pPr>
      <w:r>
        <w:rPr>
          <w:rFonts w:hint="eastAsia" w:ascii="仿宋_GB2312"/>
        </w:rPr>
        <w:t>本次磋商采用现场审查供应商资格方式，由采购商组织磋商小组对供应商的资格进行审查（磋商文件的真实性由供应商负责），若供应商提供虚假信息的，一经查证取消磋商资格，没收投标保证金，追究其法律责任。对于符合磋商文件资格要求的供应商可继续参加磋商，若供应商资格条件不符合磋商文件要求，不得其参加后续的磋商活动。</w:t>
      </w:r>
    </w:p>
    <w:p>
      <w:pPr>
        <w:ind w:firstLine="315"/>
        <w:rPr>
          <w:rFonts w:ascii="仿宋_GB2312"/>
          <w:b/>
          <w:bCs/>
        </w:rPr>
      </w:pPr>
      <w:r>
        <w:rPr>
          <w:rFonts w:hint="eastAsia" w:ascii="仿宋_GB2312"/>
          <w:b/>
          <w:bCs/>
        </w:rPr>
        <w:t>三、评标办法</w:t>
      </w:r>
    </w:p>
    <w:p>
      <w:pPr>
        <w:ind w:firstLine="315"/>
        <w:rPr>
          <w:rFonts w:ascii="仿宋_GB2312"/>
        </w:rPr>
      </w:pPr>
      <w:r>
        <w:rPr>
          <w:rFonts w:hint="eastAsia" w:ascii="仿宋_GB2312"/>
        </w:rPr>
        <w:t>本项目采用综合评分法。具体细则详见竞争性磋商文件评标办法部分。</w:t>
      </w:r>
    </w:p>
    <w:p>
      <w:pPr>
        <w:ind w:firstLine="315"/>
        <w:rPr>
          <w:rFonts w:ascii="仿宋_GB2312"/>
          <w:b/>
          <w:bCs/>
        </w:rPr>
      </w:pPr>
      <w:r>
        <w:rPr>
          <w:rFonts w:hint="eastAsia" w:ascii="仿宋_GB2312"/>
          <w:b/>
          <w:bCs/>
        </w:rPr>
        <w:t>四、竞争性磋商文件获取</w:t>
      </w:r>
    </w:p>
    <w:p>
      <w:pPr>
        <w:ind w:firstLine="315"/>
        <w:rPr>
          <w:rFonts w:ascii="仿宋_GB2312"/>
        </w:rPr>
      </w:pPr>
      <w:r>
        <w:rPr>
          <w:rFonts w:hint="eastAsia" w:ascii="仿宋_GB2312"/>
        </w:rPr>
        <w:t>（一）磋商公告在中国招标网</w:t>
      </w:r>
      <w:bookmarkStart w:id="14" w:name="_Hlk36132917"/>
      <w:r>
        <w:rPr>
          <w:rFonts w:hint="eastAsia" w:ascii="仿宋_GB2312"/>
          <w:u w:val="single"/>
        </w:rPr>
        <w:t>http://www.infobidding.com/</w:t>
      </w:r>
      <w:bookmarkEnd w:id="14"/>
      <w:r>
        <w:rPr>
          <w:rFonts w:hint="eastAsia" w:ascii="仿宋_GB2312"/>
          <w:u w:val="none"/>
          <w:lang w:val="en-US" w:eastAsia="zh-CN"/>
        </w:rPr>
        <w:t>及淮安新城投资开发有限公司官网</w:t>
      </w:r>
      <w:r>
        <w:rPr>
          <w:rFonts w:hint="eastAsia" w:ascii="仿宋_GB2312"/>
          <w:color w:val="000000" w:themeColor="text1"/>
          <w:u w:val="single"/>
          <w:lang w:val="en-US" w:eastAsia="zh-CN"/>
          <w14:textFill>
            <w14:solidFill>
              <w14:schemeClr w14:val="tx1"/>
            </w14:solidFill>
          </w14:textFill>
        </w:rPr>
        <w:t>http://www.haxctz.com/</w:t>
      </w:r>
      <w:r>
        <w:rPr>
          <w:rFonts w:hint="eastAsia" w:ascii="仿宋_GB2312"/>
        </w:rPr>
        <w:t>发布，磋商文件请携带授权委托书及受托人身份证复印件加盖公章至采购商领取，磋商文件材料费：人民币400元/份（售后不退），未缴纳磋商文件材料费的供应商的响应文件将被拒绝。</w:t>
      </w:r>
    </w:p>
    <w:p>
      <w:pPr>
        <w:ind w:firstLine="315"/>
        <w:rPr>
          <w:rFonts w:hint="eastAsia" w:ascii="仿宋_GB2312" w:eastAsia="仿宋_GB2312"/>
          <w:szCs w:val="21"/>
          <w:lang w:eastAsia="zh-CN"/>
        </w:rPr>
      </w:pPr>
      <w:r>
        <w:rPr>
          <w:rFonts w:hint="eastAsia" w:ascii="仿宋_GB2312"/>
        </w:rPr>
        <w:t xml:space="preserve">（二）公告期限及报名时间：2022年 </w:t>
      </w:r>
      <w:r>
        <w:rPr>
          <w:rFonts w:ascii="仿宋_GB2312"/>
        </w:rPr>
        <w:t>4</w:t>
      </w:r>
      <w:r>
        <w:rPr>
          <w:rFonts w:hint="eastAsia" w:ascii="仿宋_GB2312"/>
        </w:rPr>
        <w:t xml:space="preserve"> 月</w:t>
      </w:r>
      <w:r>
        <w:rPr>
          <w:rFonts w:hint="eastAsia" w:ascii="仿宋_GB2312"/>
          <w:lang w:val="en-US" w:eastAsia="zh-CN"/>
        </w:rPr>
        <w:t>30</w:t>
      </w:r>
      <w:r>
        <w:rPr>
          <w:rFonts w:hint="eastAsia" w:ascii="仿宋_GB2312"/>
        </w:rPr>
        <w:t xml:space="preserve">日至2022年 </w:t>
      </w:r>
      <w:r>
        <w:rPr>
          <w:rFonts w:hint="eastAsia" w:ascii="仿宋_GB2312"/>
          <w:lang w:val="en-US" w:eastAsia="zh-CN"/>
        </w:rPr>
        <w:t>5</w:t>
      </w:r>
      <w:r>
        <w:rPr>
          <w:rFonts w:hint="eastAsia" w:ascii="仿宋_GB2312"/>
        </w:rPr>
        <w:t xml:space="preserve"> 月 </w:t>
      </w:r>
      <w:r>
        <w:rPr>
          <w:rFonts w:hint="eastAsia" w:ascii="仿宋_GB2312"/>
          <w:lang w:val="en-US" w:eastAsia="zh-CN"/>
        </w:rPr>
        <w:t>8</w:t>
      </w:r>
      <w:r>
        <w:rPr>
          <w:rFonts w:hint="eastAsia" w:ascii="仿宋_GB2312"/>
        </w:rPr>
        <w:t xml:space="preserve"> 日上午9：00—11：30；下午</w:t>
      </w:r>
      <w:r>
        <w:rPr>
          <w:rFonts w:ascii="仿宋_GB2312"/>
        </w:rPr>
        <w:t>14</w:t>
      </w:r>
      <w:r>
        <w:rPr>
          <w:rFonts w:hint="eastAsia" w:ascii="仿宋_GB2312"/>
        </w:rPr>
        <w:t>：00—</w:t>
      </w:r>
      <w:r>
        <w:rPr>
          <w:rFonts w:ascii="仿宋_GB2312"/>
        </w:rPr>
        <w:t>17</w:t>
      </w:r>
      <w:r>
        <w:rPr>
          <w:rFonts w:hint="eastAsia" w:ascii="仿宋_GB2312"/>
        </w:rPr>
        <w:t>：30（节假日</w:t>
      </w:r>
      <w:r>
        <w:rPr>
          <w:rFonts w:hint="eastAsia" w:ascii="仿宋_GB2312"/>
          <w:lang w:val="en-US" w:eastAsia="zh-CN"/>
        </w:rPr>
        <w:t>不休</w:t>
      </w:r>
      <w:r>
        <w:rPr>
          <w:rFonts w:hint="eastAsia" w:ascii="仿宋_GB2312"/>
        </w:rPr>
        <w:t>）</w:t>
      </w:r>
      <w:r>
        <w:rPr>
          <w:rFonts w:hint="eastAsia" w:ascii="仿宋_GB2312"/>
          <w:lang w:eastAsia="zh-CN"/>
        </w:rPr>
        <w:t>。</w:t>
      </w:r>
    </w:p>
    <w:p>
      <w:pPr>
        <w:ind w:firstLine="422" w:firstLineChars="200"/>
        <w:rPr>
          <w:rFonts w:ascii="仿宋_GB2312"/>
          <w:b/>
          <w:szCs w:val="21"/>
        </w:rPr>
      </w:pPr>
      <w:r>
        <w:rPr>
          <w:rFonts w:hint="eastAsia" w:ascii="仿宋_GB2312"/>
          <w:b/>
          <w:szCs w:val="21"/>
        </w:rPr>
        <w:t>五、</w:t>
      </w:r>
      <w:bookmarkStart w:id="15" w:name="_Hlk36753550"/>
      <w:r>
        <w:rPr>
          <w:rFonts w:hint="eastAsia" w:ascii="仿宋_GB2312"/>
          <w:b/>
          <w:szCs w:val="21"/>
        </w:rPr>
        <w:t>资格审查</w:t>
      </w:r>
      <w:bookmarkEnd w:id="15"/>
      <w:r>
        <w:rPr>
          <w:rFonts w:hint="eastAsia" w:ascii="仿宋_GB2312"/>
          <w:b/>
          <w:szCs w:val="21"/>
        </w:rPr>
        <w:t>方式、响应文件接收截止时间、地点：</w:t>
      </w:r>
    </w:p>
    <w:p>
      <w:pPr>
        <w:ind w:firstLine="315"/>
        <w:rPr>
          <w:rFonts w:ascii="仿宋_GB2312"/>
        </w:rPr>
      </w:pPr>
      <w:r>
        <w:rPr>
          <w:rFonts w:hint="eastAsia" w:ascii="仿宋_GB2312"/>
        </w:rPr>
        <w:t>资格审查方式：资格后审</w:t>
      </w:r>
    </w:p>
    <w:p>
      <w:pPr>
        <w:ind w:firstLine="315"/>
        <w:rPr>
          <w:rFonts w:ascii="仿宋_GB2312"/>
        </w:rPr>
      </w:pPr>
      <w:r>
        <w:rPr>
          <w:rFonts w:hint="eastAsia" w:ascii="仿宋_GB2312"/>
        </w:rPr>
        <w:t xml:space="preserve">响应文件接收截止时间: 2022年 </w:t>
      </w:r>
      <w:r>
        <w:rPr>
          <w:rFonts w:hint="eastAsia" w:ascii="仿宋_GB2312"/>
          <w:lang w:val="en-US" w:eastAsia="zh-CN"/>
        </w:rPr>
        <w:t>5</w:t>
      </w:r>
      <w:r>
        <w:rPr>
          <w:rFonts w:hint="eastAsia" w:ascii="仿宋_GB2312"/>
        </w:rPr>
        <w:t xml:space="preserve">月 </w:t>
      </w:r>
      <w:r>
        <w:rPr>
          <w:rFonts w:hint="eastAsia" w:ascii="仿宋_GB2312"/>
          <w:lang w:val="en-US" w:eastAsia="zh-CN"/>
        </w:rPr>
        <w:t>9</w:t>
      </w:r>
      <w:r>
        <w:rPr>
          <w:rFonts w:hint="eastAsia" w:ascii="仿宋_GB2312"/>
        </w:rPr>
        <w:t xml:space="preserve"> 日1</w:t>
      </w:r>
      <w:r>
        <w:rPr>
          <w:rFonts w:ascii="仿宋_GB2312"/>
        </w:rPr>
        <w:t>4</w:t>
      </w:r>
      <w:r>
        <w:rPr>
          <w:rFonts w:hint="eastAsia" w:ascii="仿宋_GB2312"/>
        </w:rPr>
        <w:t>:</w:t>
      </w:r>
      <w:r>
        <w:rPr>
          <w:rFonts w:ascii="仿宋_GB2312"/>
        </w:rPr>
        <w:t>30</w:t>
      </w:r>
    </w:p>
    <w:p>
      <w:pPr>
        <w:ind w:firstLine="315"/>
        <w:rPr>
          <w:rFonts w:ascii="仿宋_GB2312"/>
        </w:rPr>
      </w:pPr>
      <w:r>
        <w:rPr>
          <w:rFonts w:hint="eastAsia" w:ascii="仿宋_GB2312"/>
        </w:rPr>
        <w:t>响应文件接收地点：淮安市翔宇南道1号北楼13楼1328室</w:t>
      </w:r>
    </w:p>
    <w:p>
      <w:pPr>
        <w:ind w:firstLine="422" w:firstLineChars="200"/>
        <w:rPr>
          <w:rFonts w:ascii="仿宋_GB2312"/>
          <w:b/>
          <w:szCs w:val="21"/>
        </w:rPr>
      </w:pPr>
      <w:r>
        <w:rPr>
          <w:rFonts w:hint="eastAsia" w:ascii="仿宋_GB2312"/>
          <w:b/>
          <w:szCs w:val="21"/>
        </w:rPr>
        <w:t>六、磋商时间及地点：</w:t>
      </w:r>
    </w:p>
    <w:p>
      <w:pPr>
        <w:ind w:firstLine="315"/>
        <w:rPr>
          <w:rFonts w:ascii="仿宋_GB2312"/>
        </w:rPr>
      </w:pPr>
      <w:r>
        <w:rPr>
          <w:rFonts w:hint="eastAsia" w:ascii="仿宋_GB2312"/>
        </w:rPr>
        <w:t xml:space="preserve">磋商时间:  2022年 </w:t>
      </w:r>
      <w:r>
        <w:rPr>
          <w:rFonts w:hint="eastAsia" w:ascii="仿宋_GB2312"/>
          <w:lang w:val="en-US" w:eastAsia="zh-CN"/>
        </w:rPr>
        <w:t>5</w:t>
      </w:r>
      <w:r>
        <w:rPr>
          <w:rFonts w:hint="eastAsia" w:ascii="仿宋_GB2312"/>
        </w:rPr>
        <w:t xml:space="preserve"> 月 </w:t>
      </w:r>
      <w:r>
        <w:rPr>
          <w:rFonts w:hint="eastAsia" w:ascii="仿宋_GB2312"/>
          <w:lang w:val="en-US" w:eastAsia="zh-CN"/>
        </w:rPr>
        <w:t>9</w:t>
      </w:r>
      <w:r>
        <w:rPr>
          <w:rFonts w:hint="eastAsia" w:ascii="仿宋_GB2312"/>
        </w:rPr>
        <w:t xml:space="preserve"> 日</w:t>
      </w:r>
      <w:bookmarkStart w:id="25" w:name="_GoBack"/>
      <w:bookmarkEnd w:id="25"/>
      <w:r>
        <w:rPr>
          <w:rFonts w:hint="eastAsia" w:ascii="仿宋_GB2312"/>
        </w:rPr>
        <w:t xml:space="preserve">14:30   </w:t>
      </w:r>
    </w:p>
    <w:p>
      <w:pPr>
        <w:ind w:firstLine="315"/>
        <w:rPr>
          <w:rFonts w:ascii="仿宋_GB2312"/>
        </w:rPr>
      </w:pPr>
      <w:r>
        <w:rPr>
          <w:rFonts w:hint="eastAsia" w:ascii="仿宋_GB2312"/>
        </w:rPr>
        <w:t>磋商地点: 淮安市翔宇南道1号北楼13楼1328室</w:t>
      </w:r>
    </w:p>
    <w:p>
      <w:pPr>
        <w:ind w:firstLine="422" w:firstLineChars="200"/>
        <w:rPr>
          <w:rFonts w:ascii="仿宋_GB2312"/>
          <w:b/>
          <w:szCs w:val="21"/>
        </w:rPr>
      </w:pPr>
      <w:r>
        <w:rPr>
          <w:rFonts w:hint="eastAsia" w:ascii="仿宋_GB2312"/>
          <w:b/>
          <w:szCs w:val="21"/>
        </w:rPr>
        <w:t>七、本次磋商联系事项：</w:t>
      </w:r>
    </w:p>
    <w:p>
      <w:pPr>
        <w:ind w:firstLine="315"/>
        <w:rPr>
          <w:rFonts w:hint="eastAsia" w:ascii="仿宋_GB2312"/>
          <w:lang w:val="en-US" w:eastAsia="zh-CN"/>
        </w:rPr>
      </w:pPr>
      <w:r>
        <w:rPr>
          <w:rFonts w:hint="eastAsia" w:ascii="仿宋_GB2312"/>
        </w:rPr>
        <w:t>（1）磋商文件询问（质疑）事项联系人:  王</w:t>
      </w:r>
      <w:r>
        <w:rPr>
          <w:rFonts w:hint="eastAsia" w:ascii="仿宋_GB2312"/>
          <w:lang w:val="en-US" w:eastAsia="zh-CN"/>
        </w:rPr>
        <w:t>先生</w:t>
      </w:r>
      <w:r>
        <w:rPr>
          <w:rFonts w:hint="eastAsia" w:ascii="仿宋_GB2312"/>
        </w:rPr>
        <w:t xml:space="preserve">      联系电话:</w:t>
      </w:r>
      <w:r>
        <w:rPr>
          <w:rFonts w:hint="eastAsia" w:ascii="仿宋_GB2312"/>
          <w:lang w:val="en-US" w:eastAsia="zh-CN"/>
        </w:rPr>
        <w:t>18852300011</w:t>
      </w:r>
    </w:p>
    <w:p>
      <w:pPr>
        <w:ind w:firstLine="315"/>
        <w:rPr>
          <w:rFonts w:ascii="仿宋_GB2312"/>
        </w:rPr>
      </w:pPr>
      <w:r>
        <w:rPr>
          <w:rFonts w:hint="eastAsia" w:ascii="仿宋_GB2312"/>
        </w:rPr>
        <w:t>（2）采购商联系人:  王</w:t>
      </w:r>
      <w:r>
        <w:rPr>
          <w:rFonts w:hint="eastAsia" w:ascii="仿宋_GB2312"/>
          <w:lang w:val="en-US" w:eastAsia="zh-CN"/>
        </w:rPr>
        <w:t>先生</w:t>
      </w:r>
      <w:r>
        <w:rPr>
          <w:rFonts w:hint="eastAsia" w:ascii="仿宋_GB2312"/>
        </w:rPr>
        <w:t xml:space="preserve">                    </w:t>
      </w:r>
      <w:r>
        <w:rPr>
          <w:rFonts w:ascii="仿宋_GB2312"/>
        </w:rPr>
        <w:t xml:space="preserve"> </w:t>
      </w:r>
      <w:r>
        <w:rPr>
          <w:rFonts w:hint="eastAsia" w:ascii="仿宋_GB2312"/>
        </w:rPr>
        <w:t>联系电话:</w:t>
      </w:r>
      <w:r>
        <w:rPr>
          <w:rFonts w:hint="eastAsia" w:ascii="仿宋_GB2312"/>
          <w:lang w:val="en-US" w:eastAsia="zh-CN"/>
        </w:rPr>
        <w:t>18852300011</w:t>
      </w:r>
    </w:p>
    <w:p>
      <w:pPr>
        <w:ind w:firstLine="315"/>
        <w:rPr>
          <w:rFonts w:ascii="仿宋_GB2312"/>
        </w:rPr>
      </w:pPr>
      <w:r>
        <w:rPr>
          <w:rFonts w:hint="eastAsia" w:ascii="仿宋_GB2312"/>
        </w:rPr>
        <w:t>（3）采购商联系地址:淮安市翔宇南道1号北楼13楼</w:t>
      </w:r>
    </w:p>
    <w:p>
      <w:pPr>
        <w:ind w:firstLine="315"/>
        <w:rPr>
          <w:rFonts w:ascii="仿宋_GB2312"/>
        </w:rPr>
      </w:pPr>
      <w:r>
        <w:rPr>
          <w:rFonts w:hint="eastAsia" w:ascii="仿宋_GB2312"/>
        </w:rPr>
        <w:t>（4）谈判现场事项联系人:  王</w:t>
      </w:r>
      <w:r>
        <w:rPr>
          <w:rFonts w:hint="eastAsia" w:ascii="仿宋_GB2312"/>
          <w:lang w:val="en-US" w:eastAsia="zh-CN"/>
        </w:rPr>
        <w:t>先生</w:t>
      </w:r>
      <w:r>
        <w:rPr>
          <w:rFonts w:hint="eastAsia" w:ascii="仿宋_GB2312"/>
        </w:rPr>
        <w:t xml:space="preserve">               联系电话:</w:t>
      </w:r>
      <w:r>
        <w:rPr>
          <w:rFonts w:hint="eastAsia" w:ascii="仿宋_GB2312"/>
          <w:lang w:val="en-US" w:eastAsia="zh-CN"/>
        </w:rPr>
        <w:t>19852561059</w:t>
      </w:r>
    </w:p>
    <w:p>
      <w:pPr>
        <w:ind w:firstLine="422" w:firstLineChars="200"/>
        <w:jc w:val="left"/>
        <w:rPr>
          <w:rFonts w:ascii="仿宋_GB2312"/>
          <w:szCs w:val="21"/>
        </w:rPr>
      </w:pPr>
      <w:r>
        <w:rPr>
          <w:rFonts w:hint="eastAsia" w:ascii="仿宋_GB2312"/>
          <w:b/>
          <w:szCs w:val="21"/>
        </w:rPr>
        <w:t>八、其他事项：</w:t>
      </w:r>
    </w:p>
    <w:p>
      <w:pPr>
        <w:ind w:firstLine="315"/>
        <w:rPr>
          <w:rFonts w:ascii="仿宋_GB2312"/>
        </w:rPr>
      </w:pPr>
      <w:r>
        <w:rPr>
          <w:rFonts w:hint="eastAsia" w:ascii="仿宋_GB2312"/>
        </w:rPr>
        <w:t>磋商保证金: 本项目的磋商保证金金额：一标段人民币</w:t>
      </w:r>
      <w:r>
        <w:rPr>
          <w:rFonts w:hint="eastAsia" w:ascii="仿宋_GB2312"/>
          <w:u w:val="single"/>
        </w:rPr>
        <w:t xml:space="preserve"> 贰万</w:t>
      </w:r>
      <w:r>
        <w:rPr>
          <w:rFonts w:hint="eastAsia" w:ascii="仿宋_GB2312"/>
        </w:rPr>
        <w:t xml:space="preserve"> 元整，二标段人民币</w:t>
      </w:r>
      <w:r>
        <w:rPr>
          <w:rFonts w:hint="eastAsia" w:ascii="仿宋_GB2312"/>
          <w:u w:val="single"/>
        </w:rPr>
        <w:t xml:space="preserve"> 贰万</w:t>
      </w:r>
      <w:r>
        <w:rPr>
          <w:rFonts w:hint="eastAsia" w:ascii="仿宋_GB2312"/>
        </w:rPr>
        <w:t xml:space="preserve"> 元整。磋商保证金的形式为</w:t>
      </w:r>
      <w:r>
        <w:rPr>
          <w:szCs w:val="21"/>
        </w:rPr>
        <w:t>银行</w:t>
      </w:r>
      <w:r>
        <w:rPr>
          <w:rFonts w:hint="eastAsia"/>
          <w:szCs w:val="21"/>
        </w:rPr>
        <w:t>转账或电汇</w:t>
      </w:r>
      <w:r>
        <w:rPr>
          <w:rFonts w:hint="eastAsia" w:ascii="仿宋_GB2312"/>
        </w:rPr>
        <w:t>或采购商认可的形式。</w:t>
      </w:r>
    </w:p>
    <w:p>
      <w:pPr>
        <w:ind w:firstLine="315"/>
        <w:rPr>
          <w:rFonts w:hint="eastAsia" w:ascii="仿宋_GB2312"/>
          <w:szCs w:val="21"/>
        </w:rPr>
      </w:pPr>
      <w:r>
        <w:rPr>
          <w:rFonts w:hint="eastAsia" w:ascii="仿宋_GB2312"/>
          <w:szCs w:val="21"/>
        </w:rPr>
        <w:t>磋商保证金</w:t>
      </w:r>
      <w:r>
        <w:rPr>
          <w:rFonts w:hint="eastAsia" w:ascii="仿宋_GB2312"/>
          <w:szCs w:val="21"/>
          <w:lang w:val="en-US" w:eastAsia="zh-CN"/>
        </w:rPr>
        <w:t>在磋商开始时间前</w:t>
      </w:r>
      <w:r>
        <w:rPr>
          <w:rFonts w:hint="eastAsia" w:ascii="仿宋_GB2312"/>
          <w:szCs w:val="21"/>
        </w:rPr>
        <w:t>转入以下账户</w:t>
      </w:r>
    </w:p>
    <w:p>
      <w:pPr>
        <w:ind w:firstLine="315"/>
        <w:rPr>
          <w:rFonts w:ascii="仿宋_GB2312"/>
        </w:rPr>
      </w:pPr>
      <w:r>
        <w:rPr>
          <w:rFonts w:hint="eastAsia" w:ascii="仿宋_GB2312"/>
        </w:rPr>
        <w:t>抬头：淮安致远市政园林建设有限公司</w:t>
      </w:r>
    </w:p>
    <w:p>
      <w:pPr>
        <w:ind w:firstLine="315"/>
        <w:rPr>
          <w:rFonts w:hint="eastAsia" w:ascii="仿宋_GB2312"/>
        </w:rPr>
      </w:pPr>
      <w:r>
        <w:rPr>
          <w:rFonts w:hint="eastAsia" w:ascii="仿宋_GB2312"/>
        </w:rPr>
        <w:t>税号: 91320800MA1WU9JQXM</w:t>
      </w:r>
    </w:p>
    <w:p>
      <w:pPr>
        <w:ind w:firstLine="315"/>
        <w:rPr>
          <w:rFonts w:ascii="仿宋_GB2312"/>
        </w:rPr>
      </w:pPr>
      <w:r>
        <w:rPr>
          <w:rFonts w:hint="eastAsia" w:ascii="仿宋_GB2312"/>
        </w:rPr>
        <w:t>地址：淮安生态文旅区行政中心北楼13楼</w:t>
      </w:r>
    </w:p>
    <w:p>
      <w:pPr>
        <w:ind w:firstLine="315"/>
        <w:rPr>
          <w:rFonts w:hint="eastAsia" w:ascii="仿宋_GB2312"/>
        </w:rPr>
      </w:pPr>
      <w:r>
        <w:rPr>
          <w:rFonts w:hint="eastAsia" w:ascii="仿宋_GB2312"/>
        </w:rPr>
        <w:t>电话：051789080870</w:t>
      </w:r>
    </w:p>
    <w:p>
      <w:pPr>
        <w:ind w:firstLine="315"/>
        <w:rPr>
          <w:rFonts w:ascii="仿宋_GB2312"/>
        </w:rPr>
      </w:pPr>
      <w:r>
        <w:rPr>
          <w:rFonts w:hint="eastAsia" w:ascii="仿宋_GB2312"/>
        </w:rPr>
        <w:t>开户银行：中国农业银行股份有限公司淮安新城分理处；</w:t>
      </w:r>
    </w:p>
    <w:p>
      <w:pPr>
        <w:ind w:firstLine="315"/>
        <w:rPr>
          <w:rFonts w:ascii="仿宋_GB2312"/>
        </w:rPr>
      </w:pPr>
      <w:r>
        <w:rPr>
          <w:rFonts w:hint="eastAsia" w:ascii="仿宋_GB2312"/>
        </w:rPr>
        <w:t>开户账号：3509 0104 0002 342</w:t>
      </w:r>
    </w:p>
    <w:p>
      <w:pPr>
        <w:ind w:firstLine="422" w:firstLineChars="200"/>
        <w:rPr>
          <w:rFonts w:ascii="仿宋_GB2312"/>
          <w:b/>
          <w:bCs/>
          <w:szCs w:val="21"/>
        </w:rPr>
      </w:pPr>
      <w:bookmarkStart w:id="16" w:name="EB57484cf6002c4d46b7864a2db07900ca"/>
      <w:bookmarkEnd w:id="16"/>
      <w:bookmarkStart w:id="17" w:name="EB15b86dff6c494412ad742f57210a311c"/>
      <w:bookmarkEnd w:id="17"/>
      <w:bookmarkStart w:id="18" w:name="EBe5aaf5253f664addb9f5053a89735fd0"/>
      <w:bookmarkEnd w:id="18"/>
      <w:bookmarkStart w:id="19" w:name="EB5c95c18ead4a4b89b379fd3737a0f838"/>
      <w:bookmarkEnd w:id="19"/>
      <w:bookmarkStart w:id="20" w:name="EB73c2a9277a9a45159346cb7785b4790e"/>
      <w:bookmarkEnd w:id="20"/>
      <w:bookmarkStart w:id="21" w:name="EB4bef79ff59a84d27beda888bf8219e9b"/>
      <w:bookmarkEnd w:id="21"/>
      <w:bookmarkStart w:id="22" w:name="EB38e71d00e8744d61b326e4dcfb91d185"/>
      <w:bookmarkEnd w:id="22"/>
      <w:r>
        <w:rPr>
          <w:rFonts w:hint="eastAsia" w:ascii="仿宋_GB2312"/>
          <w:b/>
          <w:bCs/>
          <w:szCs w:val="21"/>
        </w:rPr>
        <w:t>九、以上磋商公告内容如有变动，将另行通知。</w:t>
      </w:r>
    </w:p>
    <w:p>
      <w:pPr>
        <w:ind w:firstLine="422"/>
        <w:rPr>
          <w:rFonts w:ascii="仿宋_GB2312"/>
          <w:b/>
          <w:bCs/>
          <w:iCs/>
        </w:rPr>
      </w:pPr>
    </w:p>
    <w:p>
      <w:pPr>
        <w:ind w:firstLine="4725"/>
        <w:rPr>
          <w:rFonts w:ascii="仿宋_GB2312"/>
        </w:rPr>
      </w:pPr>
      <w:bookmarkStart w:id="23" w:name="EBe3c1d9a1b64a4a98afe17725b7d45319"/>
      <w:r>
        <w:rPr>
          <w:rFonts w:hint="eastAsia" w:ascii="仿宋_GB2312"/>
        </w:rPr>
        <w:t xml:space="preserve">    淮安致远市政园林建设有限公司</w:t>
      </w:r>
    </w:p>
    <w:bookmarkEnd w:id="23"/>
    <w:p>
      <w:pPr>
        <w:ind w:firstLine="5775" w:firstLineChars="2750"/>
        <w:rPr>
          <w:rFonts w:hint="eastAsia" w:ascii="仿宋_GB2312" w:eastAsia="仿宋_GB2312"/>
          <w:bCs/>
          <w:iCs/>
          <w:lang w:val="en-US" w:eastAsia="zh-CN"/>
        </w:rPr>
        <w:sectPr>
          <w:headerReference r:id="rId10" w:type="first"/>
          <w:footerReference r:id="rId11" w:type="default"/>
          <w:pgSz w:w="11906" w:h="16838"/>
          <w:pgMar w:top="1003" w:right="1003" w:bottom="1003" w:left="1003" w:header="851" w:footer="992" w:gutter="0"/>
          <w:cols w:space="720" w:num="1"/>
          <w:docGrid w:type="lines" w:linePitch="319" w:charSpace="0"/>
        </w:sectPr>
      </w:pPr>
      <w:bookmarkStart w:id="24" w:name="EB39413eca170445439a54ed2f91d71721"/>
      <w:r>
        <w:rPr>
          <w:rFonts w:hint="eastAsia" w:ascii="仿宋_GB2312"/>
          <w:bCs/>
          <w:iCs/>
        </w:rPr>
        <w:t>2022</w:t>
      </w:r>
      <w:r>
        <w:rPr>
          <w:rFonts w:hint="eastAsia" w:ascii="仿宋_GB2312"/>
          <w:bCs/>
          <w:iCs/>
          <w:lang w:val="en-US" w:eastAsia="zh-CN"/>
        </w:rPr>
        <w:t xml:space="preserve"> </w:t>
      </w:r>
      <w:r>
        <w:rPr>
          <w:rFonts w:hint="eastAsia" w:ascii="仿宋_GB2312"/>
          <w:bCs/>
          <w:iCs/>
        </w:rPr>
        <w:t xml:space="preserve">年 </w:t>
      </w:r>
      <w:r>
        <w:rPr>
          <w:rFonts w:hint="eastAsia" w:ascii="仿宋_GB2312"/>
          <w:bCs/>
          <w:iCs/>
          <w:lang w:val="en-US" w:eastAsia="zh-CN"/>
        </w:rPr>
        <w:t xml:space="preserve">4 </w:t>
      </w:r>
      <w:r>
        <w:rPr>
          <w:rFonts w:hint="eastAsia" w:ascii="仿宋_GB2312"/>
          <w:bCs/>
          <w:iCs/>
        </w:rPr>
        <w:t>月</w:t>
      </w:r>
      <w:bookmarkEnd w:id="24"/>
      <w:r>
        <w:rPr>
          <w:rFonts w:hint="eastAsia" w:ascii="仿宋_GB2312"/>
          <w:bCs/>
          <w:iCs/>
        </w:rPr>
        <w:t xml:space="preserve"> </w:t>
      </w:r>
      <w:r>
        <w:rPr>
          <w:rFonts w:hint="eastAsia" w:ascii="仿宋_GB2312"/>
          <w:bCs/>
          <w:iCs/>
          <w:lang w:val="en-US" w:eastAsia="zh-CN"/>
        </w:rPr>
        <w:t>29</w:t>
      </w:r>
      <w:r>
        <w:rPr>
          <w:rFonts w:hint="eastAsia" w:ascii="仿宋_GB2312"/>
          <w:bCs/>
          <w:iCs/>
        </w:rPr>
        <w:t xml:space="preserve"> </w:t>
      </w:r>
      <w:r>
        <w:rPr>
          <w:rFonts w:hint="eastAsia" w:ascii="仿宋_GB2312"/>
          <w:bCs/>
          <w:iCs/>
          <w:lang w:val="en-US"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950"/>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 xml:space="preserve">                                             </w: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1987"/>
        <w:tab w:val="clear" w:pos="4153"/>
      </w:tabs>
      <w:jc w:val="both"/>
      <w:rPr>
        <w:rFonts w:hint="eastAsia"/>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1987"/>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YWQ3NDRlMWY3MmNiYTE3MWQyNTAzYWMzODM0YWUifQ=="/>
  </w:docVars>
  <w:rsids>
    <w:rsidRoot w:val="00000000"/>
    <w:rsid w:val="457117B4"/>
    <w:rsid w:val="63E46B84"/>
    <w:rsid w:val="6C276024"/>
    <w:rsid w:val="7348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仿宋_GB2312"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beforeLines="0" w:after="330" w:afterLines="0" w:line="440" w:lineRule="exact"/>
      <w:ind w:left="0" w:firstLine="0"/>
      <w:jc w:val="center"/>
      <w:outlineLvl w:val="0"/>
    </w:pPr>
    <w:rPr>
      <w:rFonts w:ascii="宋体" w:hAnsi="宋体" w:eastAsia="黑体"/>
      <w:b/>
      <w:color w:val="000000"/>
      <w:kern w:val="44"/>
      <w:sz w:val="32"/>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cs="Calibri"/>
      <w:b/>
      <w:bCs/>
      <w:caps/>
      <w:sz w:val="20"/>
      <w:szCs w:val="20"/>
    </w:rPr>
  </w:style>
  <w:style w:type="paragraph" w:styleId="7">
    <w:name w:val="toc 2"/>
    <w:basedOn w:val="1"/>
    <w:next w:val="1"/>
    <w:qFormat/>
    <w:uiPriority w:val="39"/>
    <w:pPr>
      <w:ind w:left="210"/>
      <w:jc w:val="left"/>
    </w:pPr>
    <w:rPr>
      <w:rFonts w:ascii="Calibri" w:hAnsi="Calibri" w:cs="Calibri"/>
      <w:smallCaps/>
      <w:sz w:val="20"/>
      <w:szCs w:val="20"/>
    </w:rPr>
  </w:style>
  <w:style w:type="paragraph" w:customStyle="1" w:styleId="10">
    <w:name w:val="Normal_10"/>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2859</Words>
  <Characters>3232</Characters>
  <Lines>0</Lines>
  <Paragraphs>0</Paragraphs>
  <TotalTime>13</TotalTime>
  <ScaleCrop>false</ScaleCrop>
  <LinksUpToDate>false</LinksUpToDate>
  <CharactersWithSpaces>3482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2022-04-29T09:30:00Z</dcterms:created>
  <dc:creator>周子荐</dc:creator>
  <cp:lastModifiedBy>Fir</cp:lastModifiedBy>
  <dcterms:modified xsi:type="dcterms:W3CDTF">2022-04-29T09:58:53Z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C37C4E4EE3D548B3A24AE6E0C2FC4211</vt:lpwstr>
  </property>
</Properties>
</file>